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rPr>
          <w:rFonts w:cs="Arial" w:eastAsiaTheme="minorEastAsia"/>
          <w:bCs/>
          <w:sz w:val="24"/>
          <w:lang w:eastAsia="zh-CN"/>
        </w:rPr>
      </w:pPr>
      <w:r>
        <w:rPr>
          <w:rFonts w:cs="Arial"/>
          <w:bCs/>
          <w:sz w:val="24"/>
          <w:szCs w:val="22"/>
        </w:rPr>
        <w:t>3GPP TSG RAN WG1 Meeting #8</w:t>
      </w:r>
      <w:r>
        <w:rPr>
          <w:rFonts w:cs="Arial" w:eastAsiaTheme="minorEastAsia"/>
          <w:bCs/>
          <w:sz w:val="24"/>
          <w:szCs w:val="22"/>
          <w:lang w:eastAsia="zh-CN"/>
        </w:rPr>
        <w:t>9</w:t>
      </w:r>
      <w:r>
        <w:rPr>
          <w:rFonts w:cs="Arial"/>
          <w:bCs/>
          <w:sz w:val="24"/>
          <w:szCs w:val="22"/>
        </w:rPr>
        <w:t xml:space="preserve">                 </w:t>
      </w:r>
      <w:r>
        <w:rPr>
          <w:rFonts w:cs="Arial"/>
          <w:bCs/>
          <w:sz w:val="24"/>
          <w:szCs w:val="22"/>
          <w:lang w:eastAsia="ja-JP"/>
        </w:rPr>
        <w:t xml:space="preserve">     </w:t>
      </w:r>
      <w:r>
        <w:rPr>
          <w:rFonts w:cs="Arial" w:eastAsiaTheme="minorEastAsia"/>
          <w:bCs/>
          <w:sz w:val="24"/>
          <w:szCs w:val="22"/>
        </w:rPr>
        <w:t xml:space="preserve"> </w:t>
      </w:r>
      <w:r>
        <w:rPr>
          <w:rFonts w:cs="Arial"/>
          <w:bCs/>
          <w:sz w:val="24"/>
          <w:szCs w:val="22"/>
          <w:lang w:eastAsia="ja-JP"/>
        </w:rPr>
        <w:t xml:space="preserve">              </w:t>
      </w:r>
      <w:r>
        <w:rPr>
          <w:rFonts w:cs="Arial"/>
          <w:bCs/>
          <w:sz w:val="24"/>
          <w:szCs w:val="22"/>
          <w:lang w:eastAsia="ja-JP"/>
        </w:rPr>
        <w:tab/>
      </w:r>
      <w:r>
        <w:rPr>
          <w:rFonts w:cs="Arial"/>
          <w:bCs/>
          <w:sz w:val="24"/>
        </w:rPr>
        <w:t>R1-1707165</w:t>
      </w:r>
    </w:p>
    <w:p>
      <w:pPr>
        <w:spacing w:line="480" w:lineRule="auto"/>
        <w:rPr>
          <w:rFonts w:ascii="Arial" w:hAnsi="Arial" w:cs="Arial"/>
          <w:b/>
          <w:sz w:val="21"/>
          <w:szCs w:val="21"/>
        </w:rPr>
      </w:pPr>
      <w:r>
        <w:rPr>
          <w:rFonts w:ascii="Arial" w:hAnsi="Arial" w:cs="Arial"/>
          <w:b/>
          <w:sz w:val="24"/>
          <w:szCs w:val="24"/>
        </w:rPr>
        <w:t>Hangzhou, China, 15</w:t>
      </w:r>
      <w:r>
        <w:rPr>
          <w:rFonts w:ascii="Arial" w:hAnsi="Arial" w:cs="Arial"/>
          <w:b/>
          <w:sz w:val="24"/>
          <w:szCs w:val="24"/>
          <w:vertAlign w:val="superscript"/>
        </w:rPr>
        <w:t>th</w:t>
      </w:r>
      <w:r>
        <w:rPr>
          <w:rFonts w:ascii="Arial" w:hAnsi="Arial" w:cs="Arial"/>
          <w:b/>
          <w:sz w:val="24"/>
          <w:szCs w:val="24"/>
        </w:rPr>
        <w:t xml:space="preserve"> - 19</w:t>
      </w:r>
      <w:r>
        <w:rPr>
          <w:rFonts w:ascii="Arial" w:hAnsi="Arial" w:cs="Arial"/>
          <w:b/>
          <w:sz w:val="24"/>
          <w:szCs w:val="24"/>
          <w:vertAlign w:val="superscript"/>
        </w:rPr>
        <w:t>th</w:t>
      </w:r>
      <w:r>
        <w:rPr>
          <w:rFonts w:ascii="Arial" w:hAnsi="Arial" w:cs="Arial"/>
          <w:b/>
          <w:sz w:val="24"/>
          <w:szCs w:val="24"/>
        </w:rPr>
        <w:t xml:space="preserve"> May 2017</w:t>
      </w:r>
    </w:p>
    <w:p>
      <w:pPr>
        <w:pStyle w:val="13"/>
        <w:tabs>
          <w:tab w:val="left" w:pos="1800"/>
        </w:tabs>
        <w:spacing w:line="312" w:lineRule="auto"/>
        <w:ind w:left="1756" w:hanging="1756" w:hangingChars="833"/>
        <w:rPr>
          <w:rFonts w:eastAsia="宋体"/>
          <w:sz w:val="21"/>
          <w:szCs w:val="21"/>
          <w:lang w:eastAsia="zh-CN"/>
        </w:rPr>
      </w:pPr>
      <w:r>
        <w:rPr>
          <w:rFonts w:eastAsia="宋体"/>
          <w:sz w:val="21"/>
          <w:szCs w:val="21"/>
          <w:lang w:eastAsia="zh-CN"/>
        </w:rPr>
        <w:t xml:space="preserve">Source: </w:t>
      </w:r>
      <w:r>
        <w:rPr>
          <w:rFonts w:eastAsia="宋体"/>
          <w:sz w:val="21"/>
          <w:szCs w:val="21"/>
          <w:lang w:eastAsia="zh-CN"/>
        </w:rPr>
        <w:tab/>
      </w:r>
      <w:r>
        <w:rPr>
          <w:rFonts w:eastAsia="宋体"/>
          <w:sz w:val="21"/>
          <w:szCs w:val="21"/>
          <w:lang w:eastAsia="zh-CN"/>
        </w:rPr>
        <w:t>ZTE</w:t>
      </w:r>
    </w:p>
    <w:p>
      <w:pPr>
        <w:pStyle w:val="13"/>
        <w:tabs>
          <w:tab w:val="left" w:pos="1800"/>
        </w:tabs>
        <w:spacing w:line="312" w:lineRule="auto"/>
        <w:ind w:left="1756" w:hanging="1756" w:hangingChars="833"/>
        <w:rPr>
          <w:rFonts w:eastAsia="宋体"/>
          <w:sz w:val="21"/>
          <w:szCs w:val="21"/>
          <w:lang w:eastAsia="zh-CN"/>
        </w:rPr>
      </w:pPr>
      <w:r>
        <w:rPr>
          <w:rFonts w:eastAsia="宋体"/>
          <w:sz w:val="21"/>
          <w:szCs w:val="21"/>
          <w:lang w:eastAsia="zh-CN"/>
        </w:rPr>
        <w:t>Title:</w:t>
      </w:r>
      <w:r>
        <w:rPr>
          <w:rFonts w:eastAsia="宋体"/>
          <w:sz w:val="21"/>
          <w:szCs w:val="21"/>
          <w:lang w:eastAsia="zh-CN"/>
        </w:rPr>
        <w:tab/>
      </w:r>
      <w:r>
        <w:rPr>
          <w:rFonts w:eastAsia="宋体"/>
          <w:sz w:val="21"/>
          <w:szCs w:val="21"/>
          <w:lang w:eastAsia="zh-CN"/>
        </w:rPr>
        <w:t xml:space="preserve">Common PDCCH design for NR                         </w:t>
      </w:r>
    </w:p>
    <w:p>
      <w:pPr>
        <w:pStyle w:val="13"/>
        <w:tabs>
          <w:tab w:val="left" w:pos="1800"/>
        </w:tabs>
        <w:spacing w:line="312" w:lineRule="auto"/>
        <w:ind w:left="1756" w:hanging="1756" w:hangingChars="833"/>
        <w:rPr>
          <w:rFonts w:eastAsia="宋体"/>
          <w:sz w:val="21"/>
          <w:szCs w:val="21"/>
          <w:lang w:eastAsia="zh-CN"/>
        </w:rPr>
      </w:pPr>
      <w:r>
        <w:rPr>
          <w:rFonts w:eastAsia="宋体"/>
          <w:sz w:val="21"/>
          <w:szCs w:val="21"/>
          <w:lang w:eastAsia="zh-CN"/>
        </w:rPr>
        <w:t>Agenda Item:</w:t>
      </w:r>
      <w:bookmarkStart w:id="0" w:name="Source"/>
      <w:bookmarkEnd w:id="0"/>
      <w:r>
        <w:rPr>
          <w:rFonts w:eastAsia="宋体"/>
          <w:sz w:val="21"/>
          <w:szCs w:val="21"/>
          <w:lang w:eastAsia="zh-CN"/>
        </w:rPr>
        <w:tab/>
      </w:r>
      <w:r>
        <w:rPr>
          <w:rFonts w:eastAsia="宋体"/>
          <w:sz w:val="21"/>
          <w:szCs w:val="21"/>
          <w:lang w:eastAsia="zh-CN"/>
        </w:rPr>
        <w:t>7.1.3.1.5</w:t>
      </w:r>
    </w:p>
    <w:p>
      <w:pPr>
        <w:pStyle w:val="13"/>
        <w:tabs>
          <w:tab w:val="left" w:pos="1800"/>
        </w:tabs>
        <w:spacing w:line="312" w:lineRule="auto"/>
        <w:rPr>
          <w:rFonts w:eastAsia="宋体"/>
          <w:sz w:val="21"/>
          <w:szCs w:val="21"/>
          <w:lang w:eastAsia="zh-CN"/>
        </w:rPr>
      </w:pPr>
      <w:r>
        <w:rPr>
          <w:rFonts w:eastAsia="宋体"/>
          <w:sz w:val="21"/>
          <w:szCs w:val="21"/>
          <w:lang w:eastAsia="zh-CN"/>
        </w:rPr>
        <w:t>Document for:</w:t>
      </w:r>
      <w:r>
        <w:rPr>
          <w:rFonts w:eastAsia="宋体"/>
          <w:sz w:val="21"/>
          <w:szCs w:val="21"/>
          <w:lang w:eastAsia="zh-CN"/>
        </w:rPr>
        <w:tab/>
      </w:r>
      <w:bookmarkStart w:id="1" w:name="DocumentFor"/>
      <w:bookmarkEnd w:id="1"/>
      <w:r>
        <w:rPr>
          <w:rFonts w:eastAsia="宋体"/>
          <w:sz w:val="21"/>
          <w:szCs w:val="21"/>
          <w:lang w:eastAsia="zh-CN"/>
        </w:rPr>
        <w:t>Discussion and Decision</w:t>
      </w:r>
    </w:p>
    <w:p>
      <w:pPr>
        <w:pBdr>
          <w:bottom w:val="single" w:color="auto" w:sz="4" w:space="1"/>
        </w:pBdr>
        <w:tabs>
          <w:tab w:val="left" w:pos="2552"/>
        </w:tabs>
        <w:rPr>
          <w:rFonts w:ascii="Arial" w:hAnsi="Arial" w:cs="Arial"/>
        </w:rPr>
      </w:pPr>
    </w:p>
    <w:p>
      <w:pPr>
        <w:pStyle w:val="2"/>
        <w:rPr>
          <w:lang w:val="en-US"/>
        </w:rPr>
      </w:pPr>
      <w:r>
        <w:t>Introduction</w:t>
      </w:r>
      <w:r>
        <w:rPr>
          <w:rFonts w:hint="eastAsia"/>
          <w:lang w:val="en-US"/>
        </w:rPr>
        <w:t xml:space="preserve">  </w:t>
      </w:r>
    </w:p>
    <w:p>
      <w:r>
        <w:rPr>
          <w:rFonts w:hint="eastAsia"/>
        </w:rPr>
        <w:t xml:space="preserve">For common PDCCH, in Ad </w:t>
      </w:r>
      <w:r>
        <w:rPr>
          <w:rFonts w:hint="default"/>
          <w:lang w:val="en-US"/>
        </w:rPr>
        <w:t>H</w:t>
      </w:r>
      <w:r>
        <w:rPr>
          <w:rFonts w:hint="eastAsia"/>
        </w:rPr>
        <w:t xml:space="preserve">oc meeting, there are some </w:t>
      </w:r>
      <w:r>
        <w:t>agree</w:t>
      </w:r>
      <w:bookmarkStart w:id="3" w:name="_GoBack"/>
      <w:bookmarkEnd w:id="3"/>
      <w:r>
        <w:t>ments</w:t>
      </w:r>
      <w:r>
        <w:rPr>
          <w:rFonts w:hint="eastAsia"/>
        </w:rPr>
        <w:t xml:space="preserve"> as follows:</w:t>
      </w:r>
    </w:p>
    <w:p>
      <w:pPr>
        <w:pStyle w:val="36"/>
        <w:ind w:left="24" w:leftChars="12" w:firstLine="422"/>
        <w:rPr>
          <w:rFonts w:eastAsiaTheme="minorEastAsia"/>
          <w:szCs w:val="20"/>
        </w:rPr>
      </w:pPr>
      <w:r>
        <w:rPr>
          <w:rFonts w:hint="eastAsia" w:eastAsia="MS Mincho"/>
          <w:b/>
          <w:highlight w:val="green"/>
          <w:u w:val="single"/>
          <w:lang w:eastAsia="ja-JP"/>
        </w:rPr>
        <w:t>Agreements:</w:t>
      </w:r>
    </w:p>
    <w:p>
      <w:pPr>
        <w:numPr>
          <w:ilvl w:val="0"/>
          <w:numId w:val="6"/>
        </w:numPr>
        <w:spacing w:before="0" w:after="0" w:line="240" w:lineRule="auto"/>
        <w:rPr>
          <w:rFonts w:eastAsia="MS Mincho"/>
          <w:szCs w:val="20"/>
          <w:lang w:eastAsia="ja-JP"/>
        </w:rPr>
      </w:pPr>
      <w:r>
        <w:rPr>
          <w:rFonts w:eastAsia="MS Mincho"/>
          <w:szCs w:val="20"/>
          <w:lang w:eastAsia="ja-JP"/>
        </w:rPr>
        <w:t xml:space="preserve">NR supports a ‘group common PDCCH’ carrying information of e.g. the slot structure. </w:t>
      </w:r>
    </w:p>
    <w:p>
      <w:pPr>
        <w:numPr>
          <w:ilvl w:val="1"/>
          <w:numId w:val="6"/>
        </w:numPr>
        <w:spacing w:before="0" w:after="0" w:line="240" w:lineRule="auto"/>
        <w:rPr>
          <w:rFonts w:eastAsia="MS Mincho"/>
          <w:szCs w:val="20"/>
          <w:lang w:eastAsia="ja-JP"/>
        </w:rPr>
      </w:pPr>
      <w:r>
        <w:rPr>
          <w:rFonts w:eastAsia="MS Mincho"/>
          <w:szCs w:val="20"/>
          <w:lang w:eastAsia="ja-JP"/>
        </w:rPr>
        <w:t>If the UE does not receive the ‘group common PDCCH’ the UE should be able to receive at least PDCCH in a slot, at least if the gNB did not transmit the ‘group common PDCCH’.</w:t>
      </w:r>
    </w:p>
    <w:p>
      <w:pPr>
        <w:numPr>
          <w:ilvl w:val="1"/>
          <w:numId w:val="6"/>
        </w:numPr>
        <w:spacing w:before="0" w:after="0" w:line="240" w:lineRule="auto"/>
        <w:rPr>
          <w:rFonts w:eastAsia="MS Mincho"/>
          <w:szCs w:val="20"/>
          <w:lang w:eastAsia="ja-JP"/>
        </w:rPr>
      </w:pPr>
      <w:r>
        <w:rPr>
          <w:rFonts w:eastAsia="MS Mincho"/>
          <w:szCs w:val="20"/>
          <w:lang w:eastAsia="ja-JP"/>
        </w:rPr>
        <w:t>The network will inform through RRC signalling the UE whether to decode the ‘group common PDCCH’ or not</w:t>
      </w:r>
      <w:r>
        <w:rPr>
          <w:rFonts w:hint="eastAsia"/>
          <w:szCs w:val="20"/>
        </w:rPr>
        <w:t xml:space="preserve">  </w:t>
      </w:r>
    </w:p>
    <w:p>
      <w:pPr>
        <w:numPr>
          <w:ilvl w:val="1"/>
          <w:numId w:val="6"/>
        </w:numPr>
        <w:spacing w:before="0" w:after="0" w:line="240" w:lineRule="auto"/>
        <w:rPr>
          <w:rFonts w:eastAsia="MS Mincho"/>
          <w:szCs w:val="20"/>
          <w:lang w:eastAsia="ja-JP"/>
        </w:rPr>
      </w:pPr>
      <w:r>
        <w:rPr>
          <w:rFonts w:eastAsia="MS Mincho"/>
          <w:szCs w:val="20"/>
          <w:lang w:eastAsia="ja-JP"/>
        </w:rPr>
        <w:t>Common does not necessarily imply common per cell.</w:t>
      </w:r>
      <w:r>
        <w:rPr>
          <w:rFonts w:hint="eastAsia"/>
          <w:szCs w:val="20"/>
        </w:rPr>
        <w:t xml:space="preserve">  </w:t>
      </w:r>
    </w:p>
    <w:p>
      <w:pPr>
        <w:numPr>
          <w:ilvl w:val="1"/>
          <w:numId w:val="6"/>
        </w:numPr>
        <w:spacing w:before="0" w:after="0" w:line="240" w:lineRule="auto"/>
        <w:rPr>
          <w:rFonts w:eastAsia="MS Mincho"/>
          <w:szCs w:val="20"/>
          <w:lang w:eastAsia="ja-JP"/>
        </w:rPr>
      </w:pPr>
      <w:r>
        <w:rPr>
          <w:szCs w:val="20"/>
        </w:rPr>
        <w:t>Continue the discussion on the detailed content of the ‘group common PDCCH’ including usage for TDD and FDD</w:t>
      </w:r>
    </w:p>
    <w:p>
      <w:pPr>
        <w:numPr>
          <w:ilvl w:val="1"/>
          <w:numId w:val="6"/>
        </w:numPr>
        <w:spacing w:before="0" w:after="0" w:line="240" w:lineRule="auto"/>
        <w:rPr>
          <w:rFonts w:eastAsia="MS Mincho"/>
          <w:szCs w:val="20"/>
          <w:lang w:eastAsia="ja-JP"/>
        </w:rPr>
      </w:pPr>
      <w:r>
        <w:rPr>
          <w:szCs w:val="20"/>
        </w:rPr>
        <w:t>The term ‘group common PDCCH’ refers to a channel (either a PDCCH or a separately designed channel) that carries information intended for the group of UEs.</w:t>
      </w:r>
    </w:p>
    <w:p>
      <w:pPr>
        <w:overflowPunct w:val="0"/>
        <w:autoSpaceDE w:val="0"/>
        <w:autoSpaceDN w:val="0"/>
        <w:adjustRightInd w:val="0"/>
        <w:spacing w:beforeLines="50" w:line="300" w:lineRule="auto"/>
        <w:textAlignment w:val="baseline"/>
        <w:rPr>
          <w:szCs w:val="20"/>
        </w:rPr>
      </w:pPr>
      <w:r>
        <w:rPr>
          <w:szCs w:val="20"/>
        </w:rPr>
        <w:t xml:space="preserve">Ran1 had discussed in the </w:t>
      </w:r>
      <w:r>
        <w:rPr>
          <w:rFonts w:hint="eastAsia"/>
          <w:szCs w:val="20"/>
        </w:rPr>
        <w:t xml:space="preserve">Ad Hoc </w:t>
      </w:r>
      <w:r>
        <w:rPr>
          <w:szCs w:val="20"/>
        </w:rPr>
        <w:t>meeting how to indicate the broadcast information to support effective operation in NR. Several candidate contents for the broadcast information ha</w:t>
      </w:r>
      <w:r>
        <w:rPr>
          <w:rFonts w:hint="eastAsia"/>
          <w:szCs w:val="20"/>
        </w:rPr>
        <w:t>ve</w:t>
      </w:r>
      <w:r>
        <w:rPr>
          <w:szCs w:val="20"/>
        </w:rPr>
        <w:t xml:space="preserve"> been proposed </w:t>
      </w:r>
      <w:r>
        <w:rPr>
          <w:rFonts w:hint="eastAsia"/>
          <w:szCs w:val="20"/>
        </w:rPr>
        <w:t>[</w:t>
      </w:r>
      <w:r>
        <w:rPr>
          <w:szCs w:val="20"/>
        </w:rPr>
        <w:t>1</w:t>
      </w:r>
      <w:r>
        <w:rPr>
          <w:rFonts w:hint="eastAsia"/>
          <w:szCs w:val="20"/>
        </w:rPr>
        <w:t>]</w:t>
      </w:r>
      <w:r>
        <w:rPr>
          <w:szCs w:val="20"/>
        </w:rPr>
        <w:t>. We need to further identify information as common control information to enable schemes like dynamic slot type. I</w:t>
      </w:r>
      <w:r>
        <w:rPr>
          <w:rFonts w:hint="eastAsia"/>
          <w:szCs w:val="20"/>
        </w:rPr>
        <w:t xml:space="preserve">n this contribution, we </w:t>
      </w:r>
      <w:r>
        <w:rPr>
          <w:szCs w:val="20"/>
        </w:rPr>
        <w:t>provide</w:t>
      </w:r>
      <w:r>
        <w:rPr>
          <w:rFonts w:hint="eastAsia"/>
          <w:szCs w:val="20"/>
        </w:rPr>
        <w:t xml:space="preserve"> our </w:t>
      </w:r>
      <w:r>
        <w:rPr>
          <w:szCs w:val="20"/>
        </w:rPr>
        <w:t xml:space="preserve">further </w:t>
      </w:r>
      <w:r>
        <w:rPr>
          <w:rFonts w:hint="eastAsia"/>
          <w:szCs w:val="20"/>
        </w:rPr>
        <w:t xml:space="preserve">views on </w:t>
      </w:r>
      <w:r>
        <w:rPr>
          <w:szCs w:val="20"/>
        </w:rPr>
        <w:t xml:space="preserve">the content and </w:t>
      </w:r>
      <w:r>
        <w:rPr>
          <w:rFonts w:hint="eastAsia"/>
          <w:szCs w:val="20"/>
        </w:rPr>
        <w:t xml:space="preserve">transmission of </w:t>
      </w:r>
      <w:r>
        <w:rPr>
          <w:szCs w:val="20"/>
        </w:rPr>
        <w:t>the common control.</w:t>
      </w:r>
    </w:p>
    <w:p>
      <w:pPr>
        <w:pStyle w:val="2"/>
        <w:rPr>
          <w:rFonts w:eastAsiaTheme="minorEastAsia"/>
          <w:lang w:val="en-US"/>
        </w:rPr>
      </w:pPr>
      <w:r>
        <w:rPr>
          <w:rFonts w:hint="eastAsia"/>
          <w:lang w:val="en-US"/>
        </w:rPr>
        <w:t>Discussion</w:t>
      </w:r>
    </w:p>
    <w:p>
      <w:pPr>
        <w:pStyle w:val="3"/>
        <w:ind w:left="576"/>
      </w:pPr>
      <w:r>
        <w:rPr>
          <w:rFonts w:hint="eastAsia"/>
        </w:rPr>
        <w:t>Common PDCCH Structure</w:t>
      </w:r>
    </w:p>
    <w:p>
      <w:r>
        <w:rPr>
          <w:rFonts w:hint="eastAsia" w:eastAsia="Arial Unicode MS" w:cs="Arial"/>
          <w:szCs w:val="21"/>
        </w:rPr>
        <w:t xml:space="preserve">For </w:t>
      </w:r>
      <w:r>
        <w:rPr>
          <w:rFonts w:eastAsia="Arial Unicode MS" w:cs="Arial"/>
          <w:szCs w:val="21"/>
        </w:rPr>
        <w:t xml:space="preserve">group </w:t>
      </w:r>
      <w:r>
        <w:rPr>
          <w:rFonts w:hint="eastAsia" w:eastAsia="Arial Unicode MS" w:cs="Arial"/>
          <w:szCs w:val="21"/>
        </w:rPr>
        <w:t>common PDCCH content in NR, we can divide into two categories</w:t>
      </w:r>
      <w:r>
        <w:rPr>
          <w:rFonts w:eastAsia="Arial Unicode MS" w:cs="Arial"/>
          <w:szCs w:val="21"/>
        </w:rPr>
        <w:t>.</w:t>
      </w:r>
      <w:r>
        <w:rPr>
          <w:rFonts w:hint="eastAsia"/>
        </w:rPr>
        <w:t xml:space="preserve"> </w:t>
      </w:r>
      <w:r>
        <w:t>O</w:t>
      </w:r>
      <w:r>
        <w:rPr>
          <w:rFonts w:hint="eastAsia"/>
        </w:rPr>
        <w:t xml:space="preserve">ne type is </w:t>
      </w:r>
      <w:r>
        <w:t xml:space="preserve">similar to legacy </w:t>
      </w:r>
      <w:r>
        <w:rPr>
          <w:rFonts w:hint="eastAsia"/>
        </w:rPr>
        <w:t>Common PDCCH</w:t>
      </w:r>
      <w:r>
        <w:t xml:space="preserve">, </w:t>
      </w:r>
      <w:r>
        <w:rPr>
          <w:rFonts w:hint="eastAsia"/>
        </w:rPr>
        <w:t xml:space="preserve">including </w:t>
      </w:r>
      <w:r>
        <w:rPr>
          <w:bCs/>
        </w:rPr>
        <w:t xml:space="preserve">scheduling one or more of system information, random access messages, or paging.In NR, this type of information has to apply full beam sweeping to reach every UEs in the cell. </w:t>
      </w:r>
      <w:r>
        <w:rPr>
          <w:rFonts w:hint="eastAsia"/>
        </w:rPr>
        <w:t xml:space="preserve">For </w:t>
      </w:r>
      <w:r>
        <w:t>c</w:t>
      </w:r>
      <w:r>
        <w:rPr>
          <w:rFonts w:hint="eastAsia"/>
        </w:rPr>
        <w:t>ommon PDCCH</w:t>
      </w:r>
      <w:r>
        <w:t xml:space="preserve"> carrying that type of information</w:t>
      </w:r>
      <w:r>
        <w:rPr>
          <w:rFonts w:hint="eastAsia"/>
        </w:rPr>
        <w:t xml:space="preserve">, which requires a high reliability, </w:t>
      </w:r>
      <w:r>
        <w:t>it even</w:t>
      </w:r>
      <w:r>
        <w:rPr>
          <w:rFonts w:hint="eastAsia"/>
        </w:rPr>
        <w:t xml:space="preserve"> </w:t>
      </w:r>
      <w:r>
        <w:t>needs</w:t>
      </w:r>
      <w:r>
        <w:rPr>
          <w:rFonts w:hint="eastAsia"/>
        </w:rPr>
        <w:t xml:space="preserve"> to ensure the reception of IDLE and CONNECTED state UE</w:t>
      </w:r>
      <w:r>
        <w:t>’</w:t>
      </w:r>
      <w:r>
        <w:rPr>
          <w:rFonts w:hint="eastAsia"/>
        </w:rPr>
        <w:t>s receive</w:t>
      </w:r>
      <w:r>
        <w:t>.</w:t>
      </w:r>
    </w:p>
    <w:p>
      <w:r>
        <w:t>A</w:t>
      </w:r>
      <w:r>
        <w:rPr>
          <w:rFonts w:hint="eastAsia"/>
        </w:rPr>
        <w:t xml:space="preserve">nother type </w:t>
      </w:r>
      <w:r>
        <w:t>of group</w:t>
      </w:r>
      <w:r>
        <w:rPr>
          <w:rFonts w:hint="eastAsia"/>
        </w:rPr>
        <w:t xml:space="preserve"> </w:t>
      </w:r>
      <w:r>
        <w:rPr>
          <w:lang w:eastAsia="ja-JP"/>
        </w:rPr>
        <w:t>common PDCCH will be only for some of UE in the cell</w:t>
      </w:r>
      <w:r>
        <w:rPr>
          <w:rFonts w:hint="eastAsia"/>
        </w:rPr>
        <w:t xml:space="preserve">, which </w:t>
      </w:r>
      <w:r>
        <w:t xml:space="preserve">can </w:t>
      </w:r>
      <w:r>
        <w:rPr>
          <w:rFonts w:hint="eastAsia"/>
        </w:rPr>
        <w:t>includ</w:t>
      </w:r>
      <w:r>
        <w:t>e</w:t>
      </w:r>
      <w:r>
        <w:rPr>
          <w:rFonts w:hint="eastAsia"/>
        </w:rPr>
        <w:t xml:space="preserve"> slot structure indication and other possible indications.</w:t>
      </w:r>
      <w:r>
        <w:t xml:space="preserve"> </w:t>
      </w:r>
      <w:r>
        <w:rPr>
          <w:bCs/>
        </w:rPr>
        <w:t>The transmission occurrence could be every slot.</w:t>
      </w:r>
      <w:r>
        <w:rPr>
          <w:rFonts w:hint="eastAsia"/>
        </w:rPr>
        <w:t xml:space="preserve"> </w:t>
      </w:r>
      <w:r>
        <w:t>Transmission of the information is in best-effort style and will not impact the following UE-specific PDCCH decoding.</w:t>
      </w:r>
    </w:p>
    <w:p>
      <w:pPr>
        <w:rPr>
          <w:rFonts w:eastAsia="Arial Unicode MS" w:cs="Arial"/>
          <w:szCs w:val="21"/>
        </w:rPr>
      </w:pPr>
      <w:r>
        <w:rPr>
          <w:rFonts w:hint="eastAsia"/>
        </w:rPr>
        <w:t>Starting from the two categories</w:t>
      </w:r>
      <w:r>
        <w:t>’</w:t>
      </w:r>
      <w:r>
        <w:rPr>
          <w:rFonts w:hint="eastAsia"/>
        </w:rPr>
        <w:t xml:space="preserve"> different requirements, and taking into account the deep fading characteristics </w:t>
      </w:r>
      <w:r>
        <w:t>a</w:t>
      </w:r>
      <w:r>
        <w:rPr>
          <w:rFonts w:hint="eastAsia"/>
        </w:rPr>
        <w:t>bove 6GHz frequency, two structures should be designed for common PDCCH</w:t>
      </w:r>
      <w:r>
        <w:t xml:space="preserve">: </w:t>
      </w:r>
    </w:p>
    <w:p>
      <w:pPr>
        <w:pStyle w:val="36"/>
        <w:numPr>
          <w:ilvl w:val="0"/>
          <w:numId w:val="6"/>
        </w:numPr>
        <w:ind w:firstLineChars="0"/>
      </w:pPr>
      <w:r>
        <w:rPr>
          <w:rFonts w:hint="eastAsia"/>
        </w:rPr>
        <w:t xml:space="preserve">Common PDCCH </w:t>
      </w:r>
      <w:r>
        <w:t>for cell</w:t>
      </w:r>
    </w:p>
    <w:p>
      <w:pPr>
        <w:pStyle w:val="36"/>
        <w:numPr>
          <w:ilvl w:val="0"/>
          <w:numId w:val="6"/>
        </w:numPr>
        <w:ind w:firstLineChars="0"/>
      </w:pPr>
      <w:r>
        <w:rPr>
          <w:rFonts w:hint="eastAsia"/>
        </w:rPr>
        <w:t xml:space="preserve">Common PDCCH </w:t>
      </w:r>
      <w:r>
        <w:t>for group of UEs</w:t>
      </w:r>
    </w:p>
    <w:p>
      <w:r>
        <w:rPr>
          <w:rFonts w:hint="eastAsia"/>
        </w:rPr>
        <w:t>For the former, we can use beam sweeping to achieve different beam direction UEs coverage</w:t>
      </w:r>
      <w:r>
        <w:t>.</w:t>
      </w:r>
      <w:r>
        <w:rPr>
          <w:rFonts w:hint="eastAsia"/>
        </w:rPr>
        <w:t xml:space="preserve"> </w:t>
      </w:r>
      <w:r>
        <w:t>N</w:t>
      </w:r>
      <w:r>
        <w:rPr>
          <w:rFonts w:hint="eastAsia"/>
        </w:rPr>
        <w:t>aturally, with the help of existing SS block structure is a good choice</w:t>
      </w:r>
      <w:r>
        <w:t>.</w:t>
      </w:r>
      <w:r>
        <w:rPr>
          <w:rFonts w:hint="eastAsia"/>
        </w:rPr>
        <w:t xml:space="preserve"> </w:t>
      </w:r>
      <w:r>
        <w:t>The C</w:t>
      </w:r>
      <w:r>
        <w:rPr>
          <w:rFonts w:hint="eastAsia"/>
        </w:rPr>
        <w:t xml:space="preserve">ommon PDCCH </w:t>
      </w:r>
      <w:r>
        <w:t xml:space="preserve">can be multiplexed </w:t>
      </w:r>
      <w:r>
        <w:rPr>
          <w:rFonts w:hint="eastAsia"/>
        </w:rPr>
        <w:t xml:space="preserve">into </w:t>
      </w:r>
      <w:r>
        <w:t xml:space="preserve">remaining resources in </w:t>
      </w:r>
      <w:r>
        <w:rPr>
          <w:rFonts w:hint="eastAsia"/>
        </w:rPr>
        <w:t>SS block</w:t>
      </w:r>
      <w:r>
        <w:t>. This will also</w:t>
      </w:r>
      <w:r>
        <w:rPr>
          <w:rFonts w:hint="eastAsia"/>
        </w:rPr>
        <w:t xml:space="preserve"> make full use of the existing SS block structure</w:t>
      </w:r>
      <w:r>
        <w:t>.</w:t>
      </w:r>
      <w:r>
        <w:rPr>
          <w:rFonts w:hint="eastAsia"/>
        </w:rPr>
        <w:t xml:space="preserve"> </w:t>
      </w:r>
      <w:r>
        <w:t>In case of insufficient resources in SS block, it may</w:t>
      </w:r>
      <w:r>
        <w:rPr>
          <w:rFonts w:hint="eastAsia"/>
        </w:rPr>
        <w:t xml:space="preserve"> occupy other OFDM symbols to achieve common PDCCH beam sweeping</w:t>
      </w:r>
      <w:r>
        <w:t>.</w:t>
      </w:r>
      <w:r>
        <w:rPr>
          <w:rFonts w:hint="eastAsia"/>
        </w:rPr>
        <w:t xml:space="preserve"> </w:t>
      </w:r>
      <w:r>
        <w:t xml:space="preserve">Basically, </w:t>
      </w:r>
      <w:r>
        <w:rPr>
          <w:rFonts w:hint="eastAsia"/>
        </w:rPr>
        <w:t xml:space="preserve">the </w:t>
      </w:r>
      <w:r>
        <w:t>system</w:t>
      </w:r>
      <w:r>
        <w:rPr>
          <w:rFonts w:hint="eastAsia"/>
        </w:rPr>
        <w:t xml:space="preserve"> information and the corresponding control signal within the same SS block</w:t>
      </w:r>
      <w:r>
        <w:t xml:space="preserve">. The beam sweeping period can fall back to vary small in lower frequency. </w:t>
      </w:r>
    </w:p>
    <w:p>
      <w:r>
        <w:rPr>
          <w:rFonts w:hint="eastAsia"/>
        </w:rPr>
        <w:t xml:space="preserve">For the latter, which can be loaded in the control resource set CSS, </w:t>
      </w:r>
      <w:r>
        <w:t xml:space="preserve">it may </w:t>
      </w:r>
      <w:r>
        <w:rPr>
          <w:rFonts w:hint="eastAsia"/>
        </w:rPr>
        <w:t>occupy the starting one or multiple OFDM symbols in one slot. In the direction of the CSS coverage of the beam</w:t>
      </w:r>
      <w:r>
        <w:t xml:space="preserve"> in high frequency scenarios</w:t>
      </w:r>
      <w:r>
        <w:rPr>
          <w:rFonts w:hint="eastAsia"/>
        </w:rPr>
        <w:t>, the corresponding UE can receive these common PDCCH</w:t>
      </w:r>
      <w:r>
        <w:t>.</w:t>
      </w:r>
      <w:r>
        <w:rPr>
          <w:rFonts w:hint="eastAsia"/>
        </w:rPr>
        <w:t xml:space="preserve"> </w:t>
      </w:r>
      <w:r>
        <w:t>F</w:t>
      </w:r>
      <w:r>
        <w:rPr>
          <w:rFonts w:hint="eastAsia"/>
        </w:rPr>
        <w:t xml:space="preserve">or the UEs not covered, even if they cannot receive these common PDCCH, they can </w:t>
      </w:r>
      <w:r>
        <w:t>wait for other slots</w:t>
      </w:r>
      <w:r>
        <w:rPr>
          <w:rFonts w:hint="eastAsia"/>
        </w:rPr>
        <w:t>.</w:t>
      </w:r>
    </w:p>
    <w:p>
      <w:r>
        <w:t>Both comm</w:t>
      </w:r>
      <w:r>
        <w:rPr>
          <w:rFonts w:hint="eastAsia"/>
        </w:rPr>
        <w:t>on</w:t>
      </w:r>
      <w:r>
        <w:t xml:space="preserve"> PDCCH types can use the agreed PDCCH structure.</w:t>
      </w:r>
    </w:p>
    <w:p>
      <w:pPr>
        <w:pStyle w:val="3"/>
        <w:ind w:left="576"/>
      </w:pPr>
      <w:r>
        <w:rPr>
          <w:rFonts w:hint="eastAsia"/>
        </w:rPr>
        <w:t>Group common PDCCH Content</w:t>
      </w:r>
    </w:p>
    <w:p>
      <w:r>
        <w:rPr>
          <w:rFonts w:hint="eastAsia"/>
        </w:rPr>
        <w:t xml:space="preserve">Slot structure has been </w:t>
      </w:r>
      <w:r>
        <w:t>agreed</w:t>
      </w:r>
      <w:r>
        <w:rPr>
          <w:rFonts w:hint="eastAsia"/>
        </w:rPr>
        <w:t xml:space="preserve"> to be indicated in group common PDCCH</w:t>
      </w:r>
      <w:r>
        <w:t>. In addition</w:t>
      </w:r>
      <w:r>
        <w:rPr>
          <w:rFonts w:hint="eastAsia"/>
        </w:rPr>
        <w:t>, following options should be considered:</w:t>
      </w:r>
    </w:p>
    <w:p>
      <w:pPr>
        <w:pStyle w:val="36"/>
        <w:widowControl/>
        <w:numPr>
          <w:ilvl w:val="0"/>
          <w:numId w:val="7"/>
        </w:numPr>
        <w:spacing w:before="0"/>
        <w:ind w:firstLineChars="0"/>
        <w:rPr>
          <w:rFonts w:eastAsia="Arial Unicode MS" w:cs="Arial"/>
          <w:szCs w:val="21"/>
        </w:rPr>
      </w:pPr>
      <w:r>
        <w:rPr>
          <w:szCs w:val="21"/>
        </w:rPr>
        <w:t>DL control resource set duration</w:t>
      </w:r>
    </w:p>
    <w:p>
      <w:pPr>
        <w:pStyle w:val="36"/>
        <w:widowControl/>
        <w:numPr>
          <w:ilvl w:val="0"/>
          <w:numId w:val="7"/>
        </w:numPr>
        <w:spacing w:before="0"/>
        <w:ind w:firstLineChars="0"/>
        <w:rPr>
          <w:rFonts w:eastAsia="Arial Unicode MS" w:cs="Arial"/>
          <w:szCs w:val="21"/>
        </w:rPr>
      </w:pPr>
      <w:bookmarkStart w:id="2" w:name="OLE_LINK5"/>
      <w:r>
        <w:rPr>
          <w:rFonts w:eastAsia="Arial Unicode MS" w:cs="Arial"/>
          <w:szCs w:val="21"/>
        </w:rPr>
        <w:t xml:space="preserve">Starting position of </w:t>
      </w:r>
      <w:r>
        <w:rPr>
          <w:rFonts w:hint="eastAsia" w:eastAsia="Arial Unicode MS" w:cs="Arial"/>
          <w:szCs w:val="21"/>
        </w:rPr>
        <w:t>PDSCH</w:t>
      </w:r>
      <w:bookmarkEnd w:id="2"/>
    </w:p>
    <w:p>
      <w:pPr>
        <w:pStyle w:val="36"/>
        <w:widowControl/>
        <w:numPr>
          <w:ilvl w:val="0"/>
          <w:numId w:val="7"/>
        </w:numPr>
        <w:spacing w:before="0"/>
        <w:ind w:firstLineChars="0"/>
        <w:rPr>
          <w:rFonts w:eastAsia="Arial Unicode MS" w:cs="Arial"/>
          <w:szCs w:val="21"/>
        </w:rPr>
      </w:pPr>
      <w:r>
        <w:rPr>
          <w:rFonts w:hint="eastAsia"/>
        </w:rPr>
        <w:t>Beam related information</w:t>
      </w:r>
      <w:r>
        <w:rPr>
          <w:rFonts w:eastAsia="Arial Unicode MS" w:cs="Arial"/>
          <w:szCs w:val="21"/>
        </w:rPr>
        <w:t xml:space="preserve"> </w:t>
      </w:r>
    </w:p>
    <w:p>
      <w:pPr>
        <w:spacing w:before="0"/>
        <w:rPr>
          <w:szCs w:val="21"/>
        </w:rPr>
      </w:pPr>
      <w:r>
        <w:rPr>
          <w:rFonts w:hint="eastAsia"/>
          <w:szCs w:val="21"/>
        </w:rPr>
        <w:t xml:space="preserve">For DL control resource set duration, when </w:t>
      </w:r>
      <w:r>
        <w:rPr>
          <w:szCs w:val="21"/>
        </w:rPr>
        <w:t xml:space="preserve">gNB </w:t>
      </w:r>
      <w:r>
        <w:rPr>
          <w:rFonts w:hint="eastAsia"/>
          <w:szCs w:val="21"/>
        </w:rPr>
        <w:t>configuring control resource set</w:t>
      </w:r>
      <w:r>
        <w:rPr>
          <w:szCs w:val="21"/>
        </w:rPr>
        <w:t xml:space="preserve"> it could be possible to have</w:t>
      </w:r>
      <w:r>
        <w:rPr>
          <w:rFonts w:hint="eastAsia"/>
          <w:szCs w:val="21"/>
        </w:rPr>
        <w:t xml:space="preserve"> configuration through PBCH/SS/SIB or </w:t>
      </w:r>
      <w:r>
        <w:rPr>
          <w:szCs w:val="21"/>
        </w:rPr>
        <w:t>through</w:t>
      </w:r>
      <w:r>
        <w:rPr>
          <w:rFonts w:hint="eastAsia"/>
          <w:szCs w:val="21"/>
        </w:rPr>
        <w:t xml:space="preserve"> RRC signaling</w:t>
      </w:r>
      <w:r>
        <w:rPr>
          <w:szCs w:val="21"/>
        </w:rPr>
        <w:t>.</w:t>
      </w:r>
      <w:r>
        <w:rPr>
          <w:rFonts w:hint="eastAsia"/>
          <w:szCs w:val="21"/>
        </w:rPr>
        <w:t xml:space="preserve"> </w:t>
      </w:r>
      <w:r>
        <w:rPr>
          <w:szCs w:val="21"/>
        </w:rPr>
        <w:t>B</w:t>
      </w:r>
      <w:r>
        <w:rPr>
          <w:rFonts w:hint="eastAsia"/>
          <w:szCs w:val="21"/>
        </w:rPr>
        <w:t>oth configure the frequency domain property and time domain property</w:t>
      </w:r>
      <w:r>
        <w:rPr>
          <w:szCs w:val="21"/>
        </w:rPr>
        <w:t xml:space="preserve"> can be configured. </w:t>
      </w:r>
      <w:r>
        <w:rPr>
          <w:rFonts w:hint="eastAsia"/>
          <w:szCs w:val="21"/>
        </w:rPr>
        <w:t>Based on these, us</w:t>
      </w:r>
      <w:r>
        <w:rPr>
          <w:szCs w:val="21"/>
        </w:rPr>
        <w:t>ing</w:t>
      </w:r>
      <w:r>
        <w:rPr>
          <w:rFonts w:hint="eastAsia"/>
          <w:szCs w:val="21"/>
        </w:rPr>
        <w:t xml:space="preserve"> dynamic </w:t>
      </w:r>
      <w:r>
        <w:rPr>
          <w:szCs w:val="21"/>
        </w:rPr>
        <w:t xml:space="preserve">common </w:t>
      </w:r>
      <w:r>
        <w:rPr>
          <w:rFonts w:hint="eastAsia"/>
          <w:szCs w:val="21"/>
        </w:rPr>
        <w:t xml:space="preserve">PDCCH payload to notify the control resource set duration is </w:t>
      </w:r>
      <w:r>
        <w:rPr>
          <w:szCs w:val="21"/>
        </w:rPr>
        <w:t>not needed. F</w:t>
      </w:r>
      <w:r>
        <w:rPr>
          <w:rFonts w:hint="eastAsia"/>
          <w:szCs w:val="21"/>
        </w:rPr>
        <w:t xml:space="preserve">urthermore, when configure several control resource sets, which maybe corresponding to different </w:t>
      </w:r>
      <w:r>
        <w:rPr>
          <w:szCs w:val="21"/>
        </w:rPr>
        <w:t>lengths</w:t>
      </w:r>
      <w:r>
        <w:rPr>
          <w:rFonts w:hint="eastAsia"/>
          <w:szCs w:val="21"/>
        </w:rPr>
        <w:t xml:space="preserve">, the payload overhead for dynamic set duration indication is </w:t>
      </w:r>
      <w:r>
        <w:rPr>
          <w:szCs w:val="21"/>
        </w:rPr>
        <w:t xml:space="preserve">even </w:t>
      </w:r>
      <w:r>
        <w:rPr>
          <w:rFonts w:hint="eastAsia"/>
          <w:szCs w:val="21"/>
        </w:rPr>
        <w:t>larger</w:t>
      </w:r>
      <w:r>
        <w:rPr>
          <w:szCs w:val="21"/>
        </w:rPr>
        <w:t xml:space="preserve">. And </w:t>
      </w:r>
      <w:r>
        <w:rPr>
          <w:rFonts w:hint="eastAsia"/>
          <w:szCs w:val="21"/>
        </w:rPr>
        <w:t>the flexibility will be greatly reduced</w:t>
      </w:r>
      <w:r>
        <w:rPr>
          <w:szCs w:val="21"/>
        </w:rPr>
        <w:t xml:space="preserve">. </w:t>
      </w:r>
      <w:r>
        <w:rPr>
          <w:rFonts w:hint="eastAsia"/>
          <w:szCs w:val="21"/>
        </w:rPr>
        <w:t xml:space="preserve"> </w:t>
      </w:r>
      <w:r>
        <w:rPr>
          <w:szCs w:val="21"/>
        </w:rPr>
        <w:t>It is not</w:t>
      </w:r>
      <w:r>
        <w:rPr>
          <w:rFonts w:hint="eastAsia"/>
          <w:szCs w:val="21"/>
        </w:rPr>
        <w:t xml:space="preserve"> suggest</w:t>
      </w:r>
      <w:r>
        <w:rPr>
          <w:szCs w:val="21"/>
        </w:rPr>
        <w:t>ed</w:t>
      </w:r>
      <w:r>
        <w:rPr>
          <w:rFonts w:hint="eastAsia"/>
          <w:szCs w:val="21"/>
        </w:rPr>
        <w:t xml:space="preserve"> to indicate control resource set duration in group common PDCCH. Another aspect is that NR PDCCH supports resource sharing between PDCCH and PDSCH, the resource in control resource set can be </w:t>
      </w:r>
      <w:r>
        <w:rPr>
          <w:szCs w:val="21"/>
        </w:rPr>
        <w:t>dynamically</w:t>
      </w:r>
      <w:r>
        <w:rPr>
          <w:rFonts w:hint="eastAsia"/>
          <w:szCs w:val="21"/>
        </w:rPr>
        <w:t xml:space="preserve"> shared with PDSCH, which is different from LTE PDCCH, so dynamic indication of duration</w:t>
      </w:r>
      <w:r>
        <w:rPr>
          <w:szCs w:val="21"/>
        </w:rPr>
        <w:t xml:space="preserve"> can be replaced by PDCCH/PDSCH sharing mechanism</w:t>
      </w:r>
      <w:r>
        <w:rPr>
          <w:rFonts w:hint="eastAsia"/>
          <w:szCs w:val="21"/>
        </w:rPr>
        <w:t>.</w:t>
      </w:r>
    </w:p>
    <w:p>
      <w:pPr>
        <w:spacing w:before="0"/>
        <w:rPr>
          <w:rFonts w:eastAsia="Arial Unicode MS" w:cs="Arial"/>
          <w:szCs w:val="21"/>
        </w:rPr>
      </w:pPr>
      <w:r>
        <w:rPr>
          <w:rFonts w:hint="eastAsia" w:eastAsia="Arial Unicode MS" w:cs="Arial"/>
          <w:szCs w:val="21"/>
        </w:rPr>
        <w:t xml:space="preserve">For starting position of PDSCH, because of frequency selective scheduling, different UE </w:t>
      </w:r>
      <w:r>
        <w:rPr>
          <w:rFonts w:eastAsia="Arial Unicode MS" w:cs="Arial"/>
          <w:szCs w:val="21"/>
        </w:rPr>
        <w:t>scheduling</w:t>
      </w:r>
      <w:r>
        <w:rPr>
          <w:rFonts w:hint="eastAsia" w:eastAsia="Arial Unicode MS" w:cs="Arial"/>
          <w:szCs w:val="21"/>
        </w:rPr>
        <w:t xml:space="preserve"> in different PRBs may have different starting position of PDSCH</w:t>
      </w:r>
      <w:r>
        <w:rPr>
          <w:rFonts w:eastAsia="Arial Unicode MS" w:cs="Arial"/>
          <w:szCs w:val="21"/>
        </w:rPr>
        <w:t>.</w:t>
      </w:r>
      <w:r>
        <w:rPr>
          <w:rFonts w:hint="eastAsia" w:eastAsia="Arial Unicode MS" w:cs="Arial"/>
          <w:szCs w:val="21"/>
        </w:rPr>
        <w:t xml:space="preserve"> </w:t>
      </w:r>
      <w:r>
        <w:rPr>
          <w:rFonts w:eastAsia="Arial Unicode MS" w:cs="Arial"/>
          <w:szCs w:val="21"/>
        </w:rPr>
        <w:t>This</w:t>
      </w:r>
      <w:r>
        <w:rPr>
          <w:rFonts w:hint="eastAsia" w:eastAsia="Arial Unicode MS" w:cs="Arial"/>
          <w:szCs w:val="21"/>
        </w:rPr>
        <w:t xml:space="preserve"> indication cannot be common</w:t>
      </w:r>
      <w:r>
        <w:rPr>
          <w:rFonts w:eastAsia="Arial Unicode MS" w:cs="Arial"/>
          <w:szCs w:val="21"/>
        </w:rPr>
        <w:t xml:space="preserve"> for whole bandwidth. B</w:t>
      </w:r>
      <w:r>
        <w:rPr>
          <w:rFonts w:hint="eastAsia" w:eastAsia="Arial Unicode MS" w:cs="Arial"/>
          <w:szCs w:val="21"/>
        </w:rPr>
        <w:t>ecause of the existence of control resource set, there may</w:t>
      </w:r>
      <w:r>
        <w:rPr>
          <w:rFonts w:eastAsia="Arial Unicode MS" w:cs="Arial"/>
          <w:szCs w:val="21"/>
        </w:rPr>
        <w:t xml:space="preserve"> </w:t>
      </w:r>
      <w:r>
        <w:rPr>
          <w:rFonts w:hint="eastAsia" w:eastAsia="Arial Unicode MS" w:cs="Arial"/>
          <w:szCs w:val="21"/>
        </w:rPr>
        <w:t>be several different PDSCH starting OFDM symbols in scheduling PRBs range</w:t>
      </w:r>
      <w:r>
        <w:rPr>
          <w:rFonts w:eastAsia="Arial Unicode MS" w:cs="Arial"/>
          <w:szCs w:val="21"/>
        </w:rPr>
        <w:t>.</w:t>
      </w:r>
      <w:r>
        <w:rPr>
          <w:rFonts w:hint="eastAsia" w:eastAsia="Arial Unicode MS" w:cs="Arial"/>
          <w:szCs w:val="21"/>
        </w:rPr>
        <w:t xml:space="preserve"> </w:t>
      </w:r>
      <w:r>
        <w:rPr>
          <w:rFonts w:eastAsia="Arial Unicode MS" w:cs="Arial"/>
          <w:szCs w:val="21"/>
        </w:rPr>
        <w:t>Due to those reasons,</w:t>
      </w:r>
      <w:r>
        <w:rPr>
          <w:rFonts w:hint="eastAsia" w:eastAsia="Arial Unicode MS" w:cs="Arial"/>
          <w:szCs w:val="21"/>
        </w:rPr>
        <w:t xml:space="preserve"> indicated starting position of PDSCH </w:t>
      </w:r>
      <w:r>
        <w:rPr>
          <w:rFonts w:eastAsia="Arial Unicode MS" w:cs="Arial"/>
          <w:szCs w:val="21"/>
        </w:rPr>
        <w:t>explicitly is not</w:t>
      </w:r>
      <w:r>
        <w:rPr>
          <w:rFonts w:hint="eastAsia" w:eastAsia="Arial Unicode MS" w:cs="Arial"/>
          <w:szCs w:val="21"/>
        </w:rPr>
        <w:t xml:space="preserve"> suitable </w:t>
      </w:r>
      <w:r>
        <w:rPr>
          <w:rFonts w:eastAsia="Arial Unicode MS" w:cs="Arial"/>
          <w:szCs w:val="21"/>
        </w:rPr>
        <w:t xml:space="preserve">to be </w:t>
      </w:r>
      <w:r>
        <w:rPr>
          <w:rFonts w:hint="eastAsia" w:eastAsia="Arial Unicode MS" w:cs="Arial"/>
          <w:szCs w:val="21"/>
        </w:rPr>
        <w:t xml:space="preserve">in group common PDCCH. </w:t>
      </w:r>
    </w:p>
    <w:p>
      <w:pPr>
        <w:spacing w:before="0"/>
        <w:rPr>
          <w:rFonts w:eastAsia="Arial Unicode MS" w:cs="Arial"/>
          <w:szCs w:val="21"/>
        </w:rPr>
      </w:pPr>
      <w:r>
        <w:rPr>
          <w:rFonts w:hint="eastAsia" w:eastAsia="Arial Unicode MS" w:cs="Arial"/>
          <w:szCs w:val="21"/>
        </w:rPr>
        <w:t xml:space="preserve">Beam related </w:t>
      </w:r>
      <w:r>
        <w:rPr>
          <w:rFonts w:eastAsia="Arial Unicode MS" w:cs="Arial"/>
          <w:szCs w:val="21"/>
        </w:rPr>
        <w:t>information</w:t>
      </w:r>
      <w:r>
        <w:rPr>
          <w:rFonts w:hint="eastAsia" w:eastAsia="Arial Unicode MS" w:cs="Arial"/>
          <w:szCs w:val="21"/>
        </w:rPr>
        <w:t xml:space="preserve"> can help to reduce the blind decoding of UE-specific search space</w:t>
      </w:r>
      <w:r>
        <w:rPr>
          <w:rFonts w:eastAsia="Arial Unicode MS" w:cs="Arial"/>
          <w:szCs w:val="21"/>
        </w:rPr>
        <w:t xml:space="preserve">. It could be considered </w:t>
      </w:r>
      <w:r>
        <w:rPr>
          <w:rFonts w:hint="eastAsia" w:eastAsia="Arial Unicode MS" w:cs="Arial"/>
          <w:szCs w:val="21"/>
        </w:rPr>
        <w:t>to be indicated in group common PDCCH.</w:t>
      </w:r>
      <w:r>
        <w:rPr>
          <w:rFonts w:eastAsia="Arial Unicode MS" w:cs="Arial"/>
          <w:szCs w:val="21"/>
        </w:rPr>
        <w:t xml:space="preserve"> Further details are FFS.</w:t>
      </w:r>
    </w:p>
    <w:p>
      <w:pPr>
        <w:numPr>
          <w:ilvl w:val="255"/>
          <w:numId w:val="0"/>
        </w:numPr>
        <w:spacing w:before="0"/>
        <w:rPr>
          <w:b/>
          <w:bCs/>
          <w:i/>
          <w:iCs/>
        </w:rPr>
      </w:pPr>
      <w:r>
        <w:rPr>
          <w:b/>
          <w:bCs/>
          <w:i/>
          <w:iCs/>
        </w:rPr>
        <w:t xml:space="preserve">Proposal1: DL control resource set duration in PDCCH is not indicated in common PDCCH. Starting position of PDSCH can be indicated in UE-specific PDCCH. </w:t>
      </w:r>
    </w:p>
    <w:p>
      <w:pPr>
        <w:spacing w:before="0"/>
        <w:rPr>
          <w:b/>
          <w:i/>
          <w:szCs w:val="20"/>
        </w:rPr>
      </w:pPr>
    </w:p>
    <w:p>
      <w:pPr>
        <w:spacing w:before="0"/>
        <w:rPr>
          <w:rFonts w:eastAsia="Arial Unicode MS" w:cs="Arial"/>
          <w:szCs w:val="21"/>
        </w:rPr>
      </w:pPr>
    </w:p>
    <w:p>
      <w:pPr>
        <w:pStyle w:val="3"/>
        <w:spacing w:line="416" w:lineRule="auto"/>
        <w:ind w:left="576"/>
      </w:pPr>
      <w:r>
        <w:t>DCI payload design</w:t>
      </w:r>
    </w:p>
    <w:p>
      <w:pPr>
        <w:rPr>
          <w:szCs w:val="20"/>
        </w:rPr>
      </w:pPr>
      <w:r>
        <w:rPr>
          <w:rFonts w:hint="eastAsia"/>
          <w:szCs w:val="20"/>
        </w:rPr>
        <w:t xml:space="preserve">Group common PDCCH will carry multiple </w:t>
      </w:r>
      <w:r>
        <w:rPr>
          <w:szCs w:val="20"/>
        </w:rPr>
        <w:t>indications</w:t>
      </w:r>
      <w:r>
        <w:rPr>
          <w:rFonts w:hint="eastAsia"/>
          <w:szCs w:val="20"/>
        </w:rPr>
        <w:t xml:space="preserve"> as already discussed. It could be possible to put different </w:t>
      </w:r>
      <w:r>
        <w:rPr>
          <w:szCs w:val="20"/>
        </w:rPr>
        <w:t>indication</w:t>
      </w:r>
      <w:r>
        <w:rPr>
          <w:rFonts w:hint="eastAsia"/>
          <w:szCs w:val="20"/>
        </w:rPr>
        <w:t xml:space="preserve"> in on common PDCCH. However, multiple common PDCCHs may be needed due to different requirement of the control, e.g. periodicity, payload. Even in different PDCCHs, the detection size should be similar. RNTI will distinguish the PDCCHs. If needed, a header can be introduced.  </w:t>
      </w:r>
    </w:p>
    <w:p>
      <w:pPr>
        <w:pStyle w:val="3"/>
      </w:pPr>
      <w:r>
        <w:rPr>
          <w:rFonts w:hint="eastAsia"/>
        </w:rPr>
        <w:t>Slot structure indication</w:t>
      </w:r>
    </w:p>
    <w:p>
      <w:r>
        <w:rPr>
          <w:rFonts w:hint="eastAsia"/>
        </w:rPr>
        <w:t>In certain case, group common PDCCH may be transmitted per slot. But, how</w:t>
      </w:r>
      <w:r>
        <w:t xml:space="preserve"> frequent the indication of </w:t>
      </w:r>
      <w:r>
        <w:rPr>
          <w:rFonts w:hint="eastAsia"/>
        </w:rPr>
        <w:t>group common PDCCH</w:t>
      </w:r>
      <w:r>
        <w:t xml:space="preserve"> should be </w:t>
      </w:r>
      <w:r>
        <w:rPr>
          <w:rFonts w:hint="eastAsia"/>
        </w:rPr>
        <w:t xml:space="preserve">taken into </w:t>
      </w:r>
      <w:r>
        <w:t>account</w:t>
      </w:r>
      <w:r>
        <w:rPr>
          <w:rFonts w:hint="eastAsia"/>
        </w:rPr>
        <w:t xml:space="preserve"> with the performance and overhead</w:t>
      </w:r>
      <w:r>
        <w:t>. Further considering unified solutions for multiple beam operation, slot indication may need to sweep through the whole cell. We consider three options:</w:t>
      </w:r>
    </w:p>
    <w:p>
      <w:r>
        <w:t>Option 1: Per slot and only indicate current 1 slot, Overhead: 2 bits per slot</w:t>
      </w:r>
    </w:p>
    <w:p>
      <w:r>
        <w:t>Option 2: Per slot and indicate n-slot, Overhead: 2n bits per slot</w:t>
      </w:r>
    </w:p>
    <w:p>
      <w:r>
        <w:t>Option 3: Per n-slot and indicate n-slot, Overhead: 2n bits per n-slot</w:t>
      </w:r>
    </w:p>
    <w:p>
      <w:r>
        <w:t xml:space="preserve">For Option 1, the best flexibility can be achieved. Traffic type like URLLC would benefit by the fast adaptation of the slot type. The UE is only indicated about the current slot. However, the UEs have to monitor the </w:t>
      </w:r>
      <w:r>
        <w:rPr>
          <w:rFonts w:hint="eastAsia"/>
        </w:rPr>
        <w:t>group common PDCCH</w:t>
      </w:r>
      <w:r>
        <w:t xml:space="preserve"> every slot. For multiple beam case, only limited number of beams can covered in PDCCH symbols and only part of cell (e.g. scheduled UEs) can be informed with slot type.</w:t>
      </w:r>
    </w:p>
    <w:p>
      <w:r>
        <w:t>For option 2, as shown in figure 2 it can have several opportunities to know n-slot configuration. The coverage will be increased significantly.  Consequently, overhead will be higher.</w:t>
      </w:r>
    </w:p>
    <w:p>
      <w:pPr>
        <w:ind w:firstLine="435"/>
        <w:jc w:val="center"/>
      </w:pPr>
      <w:r>
        <w:object>
          <v:shape id="_x0000_i1025" o:spt="75" type="#_x0000_t75" style="height:95.75pt;width:275.75pt;" o:ole="t" filled="f" o:preferrelative="t" stroked="f" coordsize="21600,21600">
            <v:path/>
            <v:fill on="f" focussize="0,0"/>
            <v:stroke on="f" joinstyle="miter"/>
            <v:imagedata r:id="rId5" o:title=""/>
            <o:lock v:ext="edit" aspectratio="t"/>
            <w10:wrap type="none"/>
            <w10:anchorlock/>
          </v:shape>
          <o:OLEObject Type="Embed" ProgID="Visio.Drawing.11" ShapeID="_x0000_i1025" DrawAspect="Content" ObjectID="_1468075725" r:id="rId4">
            <o:LockedField>false</o:LockedField>
          </o:OLEObject>
        </w:object>
      </w:r>
    </w:p>
    <w:p>
      <w:pPr>
        <w:ind w:firstLine="435"/>
        <w:jc w:val="center"/>
      </w:pPr>
      <w:r>
        <w:rPr>
          <w:rFonts w:hint="eastAsia"/>
        </w:rPr>
        <w:t>Fig.2</w:t>
      </w:r>
      <w:r>
        <w:t>: Option 2</w:t>
      </w:r>
    </w:p>
    <w:p>
      <w:r>
        <w:t xml:space="preserve">For Option 3, the coverage should be same as option1. </w:t>
      </w:r>
    </w:p>
    <w:p>
      <w:pPr>
        <w:ind w:firstLine="435"/>
      </w:pPr>
      <w:r>
        <w:object>
          <v:shape id="_x0000_i1026" o:spt="75" type="#_x0000_t75" style="height:64.55pt;width:404.85pt;" o:ole="t" filled="f" o:preferrelative="t" stroked="f" coordsize="21600,21600">
            <v:path/>
            <v:fill on="f" focussize="0,0"/>
            <v:stroke on="f" joinstyle="miter"/>
            <v:imagedata r:id="rId7" o:title=""/>
            <o:lock v:ext="edit" aspectratio="t"/>
            <w10:wrap type="none"/>
            <w10:anchorlock/>
          </v:shape>
          <o:OLEObject Type="Embed" ProgID="Visio.Drawing.11" ShapeID="_x0000_i1026" DrawAspect="Content" ObjectID="_1468075726" r:id="rId6">
            <o:LockedField>false</o:LockedField>
          </o:OLEObject>
        </w:object>
      </w:r>
    </w:p>
    <w:p>
      <w:pPr>
        <w:ind w:firstLine="435"/>
        <w:jc w:val="center"/>
      </w:pPr>
      <w:r>
        <w:rPr>
          <w:rFonts w:hint="eastAsia"/>
        </w:rPr>
        <w:t>Fig.3</w:t>
      </w:r>
      <w:r>
        <w:t xml:space="preserve"> Option 3</w:t>
      </w:r>
    </w:p>
    <w:p>
      <w:r>
        <w:t>The Option 2 can work with beam sweeping scheme as shown in figure 4. Thus, option 2 will achieve better performance than other options. With configuration in option2, it can naturally fall into 1 slot sweeping period for lower frequency. The period definition can be independent to SS period to address different use cases.</w:t>
      </w:r>
    </w:p>
    <w:p>
      <w:pPr>
        <w:ind w:firstLine="435"/>
      </w:pPr>
    </w:p>
    <w:p>
      <w:pPr>
        <w:jc w:val="center"/>
      </w:pPr>
      <w:r>
        <w:object>
          <v:shape id="_x0000_i1027" o:spt="75" type="#_x0000_t75" style="height:103.25pt;width:324.7pt;" o:ole="t" filled="f" o:preferrelative="t" stroked="f" coordsize="21600,21600">
            <v:path/>
            <v:fill on="f" focussize="0,0"/>
            <v:stroke on="f" joinstyle="miter"/>
            <v:imagedata r:id="rId9" o:title=""/>
            <o:lock v:ext="edit" aspectratio="t"/>
            <w10:wrap type="none"/>
            <w10:anchorlock/>
          </v:shape>
          <o:OLEObject Type="Embed" ProgID="Visio.Drawing.11" ShapeID="_x0000_i1027" DrawAspect="Content" ObjectID="_1468075727" r:id="rId8">
            <o:LockedField>false</o:LockedField>
          </o:OLEObject>
        </w:object>
      </w:r>
    </w:p>
    <w:p>
      <w:pPr>
        <w:jc w:val="center"/>
      </w:pPr>
      <w:r>
        <w:rPr>
          <w:rFonts w:hint="eastAsia"/>
        </w:rPr>
        <w:t xml:space="preserve">Fig.4 </w:t>
      </w:r>
      <w:r>
        <w:t>Option</w:t>
      </w:r>
      <w:r>
        <w:rPr>
          <w:rFonts w:hint="eastAsia"/>
        </w:rPr>
        <w:t xml:space="preserve"> 2</w:t>
      </w:r>
      <w:r>
        <w:t xml:space="preserve"> with</w:t>
      </w:r>
      <w:r>
        <w:rPr>
          <w:rFonts w:hint="eastAsia"/>
        </w:rPr>
        <w:t xml:space="preserve"> Beam sweeping</w:t>
      </w:r>
    </w:p>
    <w:p>
      <w:pPr>
        <w:rPr>
          <w:b/>
          <w:i/>
          <w:szCs w:val="20"/>
        </w:rPr>
      </w:pPr>
      <w:r>
        <w:rPr>
          <w:rFonts w:hint="eastAsia"/>
          <w:b/>
          <w:i/>
        </w:rPr>
        <w:t>Proposal 2</w:t>
      </w:r>
      <w:r>
        <w:rPr>
          <w:b/>
          <w:i/>
        </w:rPr>
        <w:t>: NR gNB can indicate slot structure per slot. Slot types for N slots will be indicated in common control and the N is configurable.</w:t>
      </w:r>
    </w:p>
    <w:p>
      <w:pPr>
        <w:pStyle w:val="2"/>
        <w:rPr>
          <w:lang w:val="en-US"/>
        </w:rPr>
      </w:pPr>
      <w:r>
        <w:rPr>
          <w:rFonts w:hint="eastAsia"/>
          <w:lang w:val="en-US"/>
        </w:rPr>
        <w:t>Conclusion</w:t>
      </w:r>
    </w:p>
    <w:p>
      <w:pPr>
        <w:rPr>
          <w:szCs w:val="20"/>
        </w:rPr>
      </w:pPr>
      <w:r>
        <w:rPr>
          <w:rFonts w:hint="eastAsia"/>
          <w:szCs w:val="20"/>
        </w:rPr>
        <w:t>In this contribution, we discussed the transmission of common control signals in NR and provided our views</w:t>
      </w:r>
      <w:r>
        <w:rPr>
          <w:szCs w:val="20"/>
        </w:rPr>
        <w:t>:</w:t>
      </w:r>
      <w:r>
        <w:rPr>
          <w:rFonts w:hint="eastAsia"/>
          <w:szCs w:val="20"/>
        </w:rPr>
        <w:t xml:space="preserve"> </w:t>
      </w:r>
    </w:p>
    <w:p>
      <w:pPr>
        <w:numPr>
          <w:ilvl w:val="255"/>
          <w:numId w:val="0"/>
        </w:numPr>
        <w:spacing w:before="0"/>
        <w:rPr>
          <w:b/>
          <w:bCs/>
          <w:i/>
          <w:iCs/>
        </w:rPr>
      </w:pPr>
      <w:r>
        <w:rPr>
          <w:b/>
          <w:bCs/>
          <w:i/>
          <w:iCs/>
        </w:rPr>
        <w:t xml:space="preserve">Proposal1: DL control resource set duration in PDCCH is not indicated in common PDCCH. Starting position of PDSCH can be indicated in UE-specific PDCCH. </w:t>
      </w:r>
    </w:p>
    <w:p>
      <w:pPr>
        <w:rPr>
          <w:b/>
          <w:bCs/>
          <w:i/>
          <w:iCs/>
        </w:rPr>
      </w:pPr>
      <w:r>
        <w:rPr>
          <w:b/>
          <w:bCs/>
          <w:i/>
          <w:iCs/>
        </w:rPr>
        <w:t>Proposal 2: NR gNB can indicate slot structure per slot. Slot types for N slots will be indicated in common control</w:t>
      </w:r>
      <w:r>
        <w:rPr>
          <w:b/>
          <w:i/>
        </w:rPr>
        <w:t xml:space="preserve"> and the N is configurable</w:t>
      </w:r>
      <w:r>
        <w:rPr>
          <w:b/>
          <w:bCs/>
          <w:i/>
          <w:iCs/>
        </w:rPr>
        <w:t>.</w:t>
      </w:r>
    </w:p>
    <w:p>
      <w:pPr>
        <w:rPr>
          <w:szCs w:val="20"/>
        </w:rPr>
      </w:pPr>
    </w:p>
    <w:p>
      <w:pPr>
        <w:pStyle w:val="2"/>
        <w:rPr>
          <w:lang w:val="en-US"/>
        </w:rPr>
      </w:pPr>
      <w:r>
        <w:rPr>
          <w:rFonts w:hint="eastAsia"/>
        </w:rPr>
        <w:t>Reference</w:t>
      </w:r>
      <w:r>
        <w:t>s</w:t>
      </w:r>
      <w:r>
        <w:rPr>
          <w:rFonts w:hint="eastAsia"/>
          <w:lang w:val="en-US"/>
        </w:rPr>
        <w:t xml:space="preserve"> </w:t>
      </w:r>
    </w:p>
    <w:p>
      <w:pPr>
        <w:pStyle w:val="54"/>
        <w:numPr>
          <w:ilvl w:val="0"/>
          <w:numId w:val="8"/>
        </w:numPr>
        <w:spacing w:after="120" w:line="288" w:lineRule="auto"/>
        <w:ind w:left="357" w:hanging="357" w:firstLineChars="0"/>
      </w:pPr>
      <w:r>
        <w:t>R1-1701585</w:t>
      </w:r>
      <w:r>
        <w:rPr>
          <w:rFonts w:hint="eastAsia" w:eastAsiaTheme="minorEastAsia"/>
          <w:lang w:eastAsia="zh-CN"/>
        </w:rPr>
        <w:t xml:space="preserve">, </w:t>
      </w:r>
      <w:r>
        <w:t>NR DL Control Channel Structure</w:t>
      </w:r>
      <w:r>
        <w:rPr>
          <w:rFonts w:hint="eastAsia" w:eastAsiaTheme="minorEastAsia"/>
          <w:lang w:eastAsia="zh-CN"/>
        </w:rPr>
        <w:t>,</w:t>
      </w:r>
      <w:r>
        <w:t xml:space="preserve"> ZTE</w:t>
      </w:r>
    </w:p>
    <w:p>
      <w:pPr>
        <w:pStyle w:val="34"/>
        <w:spacing w:line="276" w:lineRule="auto"/>
        <w:jc w:val="both"/>
        <w:rPr>
          <w:rFonts w:ascii="Times New Roman" w:hAnsi="Times New Roman"/>
          <w:sz w:val="20"/>
          <w:szCs w:val="20"/>
        </w:rPr>
      </w:pPr>
    </w:p>
    <w:p>
      <w:pPr>
        <w:rPr>
          <w:szCs w:val="20"/>
        </w:rPr>
      </w:pPr>
    </w:p>
    <w:sectPr>
      <w:pgSz w:w="12240" w:h="15840"/>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E00002FF" w:usb1="6AC7FDFB" w:usb2="00000012" w:usb3="00000000" w:csb0="4002009F" w:csb1="DFD7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KaiTi_GB2312">
    <w:altName w:val="Segoe Print"/>
    <w:panose1 w:val="02010609060101010101"/>
    <w:charset w:val="00"/>
    <w:family w:val="roman"/>
    <w:pitch w:val="default"/>
    <w:sig w:usb0="00000000" w:usb1="00000000" w:usb2="00000000" w:usb3="00000000" w:csb0="00000000" w:csb1="00000000"/>
  </w:font>
  <w:font w:name="Arial Unicode MS">
    <w:panose1 w:val="020B0604020202020204"/>
    <w:charset w:val="86"/>
    <w:family w:val="swiss"/>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F03C44"/>
    <w:multiLevelType w:val="multilevel"/>
    <w:tmpl w:val="0AF03C44"/>
    <w:lvl w:ilvl="0" w:tentative="0">
      <w:start w:val="1"/>
      <w:numFmt w:val="decimal"/>
      <w:lvlText w:val="[%1]"/>
      <w:lvlJc w:val="left"/>
      <w:pPr>
        <w:ind w:left="1120" w:hanging="360"/>
      </w:pPr>
      <w:rPr>
        <w:rFonts w:hint="eastAsia"/>
      </w:rPr>
    </w:lvl>
    <w:lvl w:ilvl="1" w:tentative="0">
      <w:start w:val="1"/>
      <w:numFmt w:val="lowerLetter"/>
      <w:lvlText w:val="%2."/>
      <w:lvlJc w:val="left"/>
      <w:pPr>
        <w:ind w:left="1840" w:hanging="360"/>
      </w:pPr>
    </w:lvl>
    <w:lvl w:ilvl="2" w:tentative="0">
      <w:start w:val="1"/>
      <w:numFmt w:val="lowerRoman"/>
      <w:lvlText w:val="%3."/>
      <w:lvlJc w:val="right"/>
      <w:pPr>
        <w:ind w:left="2560" w:hanging="180"/>
      </w:pPr>
    </w:lvl>
    <w:lvl w:ilvl="3" w:tentative="0">
      <w:start w:val="1"/>
      <w:numFmt w:val="decimal"/>
      <w:lvlText w:val="%4."/>
      <w:lvlJc w:val="left"/>
      <w:pPr>
        <w:ind w:left="3280" w:hanging="360"/>
      </w:pPr>
    </w:lvl>
    <w:lvl w:ilvl="4" w:tentative="0">
      <w:start w:val="1"/>
      <w:numFmt w:val="lowerLetter"/>
      <w:lvlText w:val="%5."/>
      <w:lvlJc w:val="left"/>
      <w:pPr>
        <w:ind w:left="4000" w:hanging="360"/>
      </w:pPr>
    </w:lvl>
    <w:lvl w:ilvl="5" w:tentative="0">
      <w:start w:val="1"/>
      <w:numFmt w:val="lowerRoman"/>
      <w:lvlText w:val="%6."/>
      <w:lvlJc w:val="right"/>
      <w:pPr>
        <w:ind w:left="4720" w:hanging="180"/>
      </w:pPr>
    </w:lvl>
    <w:lvl w:ilvl="6" w:tentative="0">
      <w:start w:val="1"/>
      <w:numFmt w:val="decimal"/>
      <w:lvlText w:val="%7."/>
      <w:lvlJc w:val="left"/>
      <w:pPr>
        <w:ind w:left="5440" w:hanging="360"/>
      </w:pPr>
    </w:lvl>
    <w:lvl w:ilvl="7" w:tentative="0">
      <w:start w:val="1"/>
      <w:numFmt w:val="lowerLetter"/>
      <w:lvlText w:val="%8."/>
      <w:lvlJc w:val="left"/>
      <w:pPr>
        <w:ind w:left="6160" w:hanging="360"/>
      </w:pPr>
    </w:lvl>
    <w:lvl w:ilvl="8" w:tentative="0">
      <w:start w:val="1"/>
      <w:numFmt w:val="lowerRoman"/>
      <w:lvlText w:val="%9."/>
      <w:lvlJc w:val="right"/>
      <w:pPr>
        <w:ind w:left="6880" w:hanging="180"/>
      </w:pPr>
    </w:lvl>
  </w:abstractNum>
  <w:abstractNum w:abstractNumId="1">
    <w:nsid w:val="2DF66E5F"/>
    <w:multiLevelType w:val="multilevel"/>
    <w:tmpl w:val="2DF66E5F"/>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2E291D71"/>
    <w:multiLevelType w:val="multilevel"/>
    <w:tmpl w:val="2E291D71"/>
    <w:lvl w:ilvl="0" w:tentative="0">
      <w:start w:val="1"/>
      <w:numFmt w:val="decimal"/>
      <w:pStyle w:val="58"/>
      <w:lvlText w:val="%1"/>
      <w:lvlJc w:val="left"/>
      <w:pPr>
        <w:ind w:left="800" w:hanging="400"/>
      </w:pPr>
      <w:rPr>
        <w:rFonts w:hint="eastAsia"/>
      </w:rPr>
    </w:lvl>
    <w:lvl w:ilvl="1" w:tentative="0">
      <w:start w:val="1"/>
      <w:numFmt w:val="decimal"/>
      <w:isLgl/>
      <w:lvlText w:val="%1.%2"/>
      <w:lvlJc w:val="left"/>
      <w:pPr>
        <w:ind w:left="1120" w:hanging="720"/>
      </w:pPr>
      <w:rPr>
        <w:rFonts w:hint="default"/>
      </w:rPr>
    </w:lvl>
    <w:lvl w:ilvl="2" w:tentative="0">
      <w:start w:val="1"/>
      <w:numFmt w:val="decimal"/>
      <w:isLgl/>
      <w:lvlText w:val="%1.%2.%3"/>
      <w:lvlJc w:val="left"/>
      <w:pPr>
        <w:ind w:left="1120" w:hanging="720"/>
      </w:pPr>
      <w:rPr>
        <w:rFonts w:hint="default"/>
      </w:rPr>
    </w:lvl>
    <w:lvl w:ilvl="3" w:tentative="0">
      <w:start w:val="1"/>
      <w:numFmt w:val="decimal"/>
      <w:isLgl/>
      <w:lvlText w:val="%1.%2.%3.%4"/>
      <w:lvlJc w:val="left"/>
      <w:pPr>
        <w:ind w:left="1480" w:hanging="1080"/>
      </w:pPr>
      <w:rPr>
        <w:rFonts w:hint="default"/>
      </w:rPr>
    </w:lvl>
    <w:lvl w:ilvl="4" w:tentative="0">
      <w:start w:val="1"/>
      <w:numFmt w:val="decimal"/>
      <w:isLgl/>
      <w:lvlText w:val="%1.%2.%3.%4.%5"/>
      <w:lvlJc w:val="left"/>
      <w:pPr>
        <w:ind w:left="1840" w:hanging="1440"/>
      </w:pPr>
      <w:rPr>
        <w:rFonts w:hint="default"/>
      </w:rPr>
    </w:lvl>
    <w:lvl w:ilvl="5" w:tentative="0">
      <w:start w:val="1"/>
      <w:numFmt w:val="decimal"/>
      <w:isLgl/>
      <w:lvlText w:val="%1.%2.%3.%4.%5.%6"/>
      <w:lvlJc w:val="left"/>
      <w:pPr>
        <w:ind w:left="2200" w:hanging="1800"/>
      </w:pPr>
      <w:rPr>
        <w:rFonts w:hint="default"/>
      </w:rPr>
    </w:lvl>
    <w:lvl w:ilvl="6" w:tentative="0">
      <w:start w:val="1"/>
      <w:numFmt w:val="decimal"/>
      <w:isLgl/>
      <w:lvlText w:val="%1.%2.%3.%4.%5.%6.%7"/>
      <w:lvlJc w:val="left"/>
      <w:pPr>
        <w:ind w:left="2200" w:hanging="1800"/>
      </w:pPr>
      <w:rPr>
        <w:rFonts w:hint="default"/>
      </w:rPr>
    </w:lvl>
    <w:lvl w:ilvl="7" w:tentative="0">
      <w:start w:val="1"/>
      <w:numFmt w:val="decimal"/>
      <w:isLgl/>
      <w:lvlText w:val="%1.%2.%3.%4.%5.%6.%7.%8"/>
      <w:lvlJc w:val="left"/>
      <w:pPr>
        <w:ind w:left="2560" w:hanging="2160"/>
      </w:pPr>
      <w:rPr>
        <w:rFonts w:hint="default"/>
      </w:rPr>
    </w:lvl>
    <w:lvl w:ilvl="8" w:tentative="0">
      <w:start w:val="1"/>
      <w:numFmt w:val="decimal"/>
      <w:isLgl/>
      <w:lvlText w:val="%1.%2.%3.%4.%5.%6.%7.%8.%9"/>
      <w:lvlJc w:val="left"/>
      <w:pPr>
        <w:ind w:left="2920" w:hanging="2520"/>
      </w:pPr>
      <w:rPr>
        <w:rFonts w:hint="default"/>
      </w:rPr>
    </w:lvl>
  </w:abstractNum>
  <w:abstractNum w:abstractNumId="3">
    <w:nsid w:val="3A877D64"/>
    <w:multiLevelType w:val="singleLevel"/>
    <w:tmpl w:val="3A877D64"/>
    <w:lvl w:ilvl="0" w:tentative="0">
      <w:start w:val="1"/>
      <w:numFmt w:val="decimal"/>
      <w:pStyle w:val="63"/>
      <w:lvlText w:val="[%1]"/>
      <w:lvlJc w:val="left"/>
      <w:pPr>
        <w:tabs>
          <w:tab w:val="left" w:pos="360"/>
        </w:tabs>
        <w:ind w:left="360" w:hanging="360"/>
      </w:pPr>
    </w:lvl>
  </w:abstractNum>
  <w:abstractNum w:abstractNumId="4">
    <w:nsid w:val="4E9B64AC"/>
    <w:multiLevelType w:val="multilevel"/>
    <w:tmpl w:val="4E9B64AC"/>
    <w:lvl w:ilvl="0" w:tentative="0">
      <w:start w:val="163"/>
      <w:numFmt w:val="bullet"/>
      <w:lvlText w:val="–"/>
      <w:lvlJc w:val="left"/>
      <w:pPr>
        <w:ind w:left="420" w:hanging="420"/>
      </w:pPr>
      <w:rPr>
        <w:rFonts w:hint="default" w:ascii="Times New Roman" w:hAnsi="Times New Roman"/>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5">
    <w:nsid w:val="52CA544A"/>
    <w:multiLevelType w:val="singleLevel"/>
    <w:tmpl w:val="52CA544A"/>
    <w:lvl w:ilvl="0" w:tentative="0">
      <w:start w:val="1"/>
      <w:numFmt w:val="decimal"/>
      <w:pStyle w:val="60"/>
      <w:lvlText w:val="[%1]"/>
      <w:lvlJc w:val="left"/>
      <w:pPr>
        <w:tabs>
          <w:tab w:val="left" w:pos="360"/>
        </w:tabs>
        <w:ind w:left="360" w:hanging="360"/>
      </w:pPr>
      <w:rPr>
        <w:rFonts w:hint="default" w:ascii="Times New Roman" w:hAnsi="Times New Roman" w:cs="Times New Roman"/>
        <w:b w:val="0"/>
        <w:bCs w:val="0"/>
        <w:i w:val="0"/>
        <w:iCs w:val="0"/>
        <w:sz w:val="16"/>
        <w:szCs w:val="16"/>
      </w:rPr>
    </w:lvl>
  </w:abstractNum>
  <w:abstractNum w:abstractNumId="6">
    <w:nsid w:val="5B1757E5"/>
    <w:multiLevelType w:val="multilevel"/>
    <w:tmpl w:val="5B1757E5"/>
    <w:lvl w:ilvl="0" w:tentative="0">
      <w:start w:val="1"/>
      <w:numFmt w:val="decimal"/>
      <w:pStyle w:val="2"/>
      <w:lvlText w:val="%1"/>
      <w:lvlJc w:val="left"/>
      <w:pPr>
        <w:ind w:left="432" w:hanging="432"/>
      </w:pPr>
    </w:lvl>
    <w:lvl w:ilvl="1" w:tentative="0">
      <w:start w:val="1"/>
      <w:numFmt w:val="decimal"/>
      <w:pStyle w:val="3"/>
      <w:lvlText w:val="%1.%2"/>
      <w:lvlJc w:val="left"/>
      <w:pPr>
        <w:ind w:left="1026" w:hanging="576"/>
      </w:pPr>
    </w:lvl>
    <w:lvl w:ilvl="2" w:tentative="0">
      <w:start w:val="1"/>
      <w:numFmt w:val="decimal"/>
      <w:lvlText w:val="%1.%2.%3"/>
      <w:lvlJc w:val="left"/>
      <w:pPr>
        <w:ind w:left="3272" w:hanging="720"/>
      </w:pPr>
      <w:rPr>
        <w:lang w:val="en-GB"/>
      </w:rPr>
    </w:lvl>
    <w:lvl w:ilvl="3" w:tentative="0">
      <w:start w:val="1"/>
      <w:numFmt w:val="decimal"/>
      <w:lvlText w:val="%1.%2.%3.%4"/>
      <w:lvlJc w:val="left"/>
      <w:pPr>
        <w:ind w:left="864" w:hanging="864"/>
      </w:pPr>
    </w:lvl>
    <w:lvl w:ilvl="4" w:tentative="0">
      <w:start w:val="1"/>
      <w:numFmt w:val="decimal"/>
      <w:lvlText w:val="%1.%2.%3.%4.%5"/>
      <w:lvlJc w:val="left"/>
      <w:pPr>
        <w:ind w:left="1008" w:hanging="1008"/>
      </w:pPr>
    </w:lvl>
    <w:lvl w:ilvl="5" w:tentative="0">
      <w:start w:val="1"/>
      <w:numFmt w:val="decimal"/>
      <w:lvlText w:val="%1.%2.%3.%4.%5.%6"/>
      <w:lvlJc w:val="left"/>
      <w:pPr>
        <w:ind w:left="1152" w:hanging="1152"/>
      </w:pPr>
    </w:lvl>
    <w:lvl w:ilvl="6" w:tentative="0">
      <w:start w:val="1"/>
      <w:numFmt w:val="decimal"/>
      <w:lvlText w:val="%1.%2.%3.%4.%5.%6.%7"/>
      <w:lvlJc w:val="left"/>
      <w:pPr>
        <w:ind w:left="1296" w:hanging="1296"/>
      </w:pPr>
    </w:lvl>
    <w:lvl w:ilvl="7" w:tentative="0">
      <w:start w:val="1"/>
      <w:numFmt w:val="decimal"/>
      <w:lvlText w:val="%1.%2.%3.%4.%5.%6.%7.%8"/>
      <w:lvlJc w:val="left"/>
      <w:pPr>
        <w:ind w:left="1440" w:hanging="1440"/>
      </w:pPr>
    </w:lvl>
    <w:lvl w:ilvl="8" w:tentative="0">
      <w:start w:val="1"/>
      <w:numFmt w:val="decimal"/>
      <w:lvlText w:val="%1.%2.%3.%4.%5.%6.%7.%8.%9"/>
      <w:lvlJc w:val="left"/>
      <w:pPr>
        <w:ind w:left="1584" w:hanging="1584"/>
      </w:pPr>
    </w:lvl>
  </w:abstractNum>
  <w:abstractNum w:abstractNumId="7">
    <w:nsid w:val="6E760327"/>
    <w:multiLevelType w:val="multilevel"/>
    <w:tmpl w:val="6E760327"/>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6"/>
        </w:tabs>
        <w:ind w:left="576" w:hanging="576"/>
      </w:pPr>
      <w:rPr>
        <w:rFonts w:hint="default"/>
        <w:lang w:val="en-GB"/>
      </w:rPr>
    </w:lvl>
    <w:lvl w:ilvl="2" w:tentative="0">
      <w:start w:val="1"/>
      <w:numFmt w:val="decimal"/>
      <w:pStyle w:val="4"/>
      <w:lvlText w:val="%1.%2.%3"/>
      <w:lvlJc w:val="left"/>
      <w:pPr>
        <w:tabs>
          <w:tab w:val="left" w:pos="0"/>
        </w:tabs>
        <w:ind w:left="0" w:firstLine="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80"/>
        </w:tabs>
        <w:ind w:left="1008" w:hanging="1008"/>
      </w:pPr>
      <w:rPr>
        <w:rFonts w:hint="default"/>
      </w:rPr>
    </w:lvl>
    <w:lvl w:ilvl="5" w:tentative="0">
      <w:start w:val="1"/>
      <w:numFmt w:val="decimal"/>
      <w:lvlText w:val="%1.%2.%3.%4.%5.%6"/>
      <w:lvlJc w:val="left"/>
      <w:pPr>
        <w:tabs>
          <w:tab w:val="left" w:pos="1440"/>
        </w:tabs>
        <w:ind w:left="1152" w:hanging="1152"/>
      </w:pPr>
      <w:rPr>
        <w:rFonts w:hint="default"/>
      </w:rPr>
    </w:lvl>
    <w:lvl w:ilvl="6" w:tentative="0">
      <w:start w:val="1"/>
      <w:numFmt w:val="decimal"/>
      <w:lvlText w:val="%1.%2.%3.%4.%5.%6.%7"/>
      <w:lvlJc w:val="left"/>
      <w:pPr>
        <w:tabs>
          <w:tab w:val="left" w:pos="1800"/>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6"/>
  </w:num>
  <w:num w:numId="2">
    <w:abstractNumId w:val="7"/>
  </w:num>
  <w:num w:numId="3">
    <w:abstractNumId w:val="2"/>
  </w:num>
  <w:num w:numId="4">
    <w:abstractNumId w:val="5"/>
  </w:num>
  <w:num w:numId="5">
    <w:abstractNumId w:val="3"/>
  </w:num>
  <w:num w:numId="6">
    <w:abstractNumId w:val="1"/>
  </w:num>
  <w:num w:numId="7">
    <w:abstractNumId w:val="4"/>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720"/>
  <w:hyphenationZone w:val="425"/>
  <w:characterSpacingControl w:val="doNotCompress"/>
  <w:compat>
    <w:useFELayout/>
    <w:compatSetting w:name="compatibilityMode" w:uri="http://schemas.microsoft.com/office/word" w:val="12"/>
  </w:compat>
  <w:rsids>
    <w:rsidRoot w:val="008E2E7F"/>
    <w:rsid w:val="000000D5"/>
    <w:rsid w:val="00000FFB"/>
    <w:rsid w:val="00001225"/>
    <w:rsid w:val="00001F6C"/>
    <w:rsid w:val="00002071"/>
    <w:rsid w:val="00002EA0"/>
    <w:rsid w:val="0000557C"/>
    <w:rsid w:val="000055D1"/>
    <w:rsid w:val="000062AC"/>
    <w:rsid w:val="000066E7"/>
    <w:rsid w:val="00006A0E"/>
    <w:rsid w:val="0000705B"/>
    <w:rsid w:val="00007304"/>
    <w:rsid w:val="00007B64"/>
    <w:rsid w:val="00012CB7"/>
    <w:rsid w:val="00012E08"/>
    <w:rsid w:val="00012E58"/>
    <w:rsid w:val="000132A2"/>
    <w:rsid w:val="00013BD1"/>
    <w:rsid w:val="00014115"/>
    <w:rsid w:val="00014604"/>
    <w:rsid w:val="00014B48"/>
    <w:rsid w:val="00014D8C"/>
    <w:rsid w:val="00015DBB"/>
    <w:rsid w:val="00015F44"/>
    <w:rsid w:val="00017916"/>
    <w:rsid w:val="00017D67"/>
    <w:rsid w:val="00017E34"/>
    <w:rsid w:val="0002066E"/>
    <w:rsid w:val="00020D97"/>
    <w:rsid w:val="0002249A"/>
    <w:rsid w:val="00022B28"/>
    <w:rsid w:val="00022C5F"/>
    <w:rsid w:val="00023067"/>
    <w:rsid w:val="000231D0"/>
    <w:rsid w:val="00023951"/>
    <w:rsid w:val="00023E79"/>
    <w:rsid w:val="000244B9"/>
    <w:rsid w:val="00024A6E"/>
    <w:rsid w:val="00025695"/>
    <w:rsid w:val="00026404"/>
    <w:rsid w:val="00026B95"/>
    <w:rsid w:val="00026C59"/>
    <w:rsid w:val="000271B7"/>
    <w:rsid w:val="00027A85"/>
    <w:rsid w:val="00027D0A"/>
    <w:rsid w:val="00027E02"/>
    <w:rsid w:val="0003074F"/>
    <w:rsid w:val="00030C02"/>
    <w:rsid w:val="0003128F"/>
    <w:rsid w:val="00031458"/>
    <w:rsid w:val="000322B0"/>
    <w:rsid w:val="000332EA"/>
    <w:rsid w:val="00033359"/>
    <w:rsid w:val="0003348A"/>
    <w:rsid w:val="00033D39"/>
    <w:rsid w:val="0003404C"/>
    <w:rsid w:val="000341C4"/>
    <w:rsid w:val="0003534A"/>
    <w:rsid w:val="00036250"/>
    <w:rsid w:val="00036872"/>
    <w:rsid w:val="00037242"/>
    <w:rsid w:val="0003750E"/>
    <w:rsid w:val="00037AF2"/>
    <w:rsid w:val="0004015F"/>
    <w:rsid w:val="00041CBB"/>
    <w:rsid w:val="00041F46"/>
    <w:rsid w:val="0004242E"/>
    <w:rsid w:val="00043334"/>
    <w:rsid w:val="00043886"/>
    <w:rsid w:val="000442B0"/>
    <w:rsid w:val="00044C0B"/>
    <w:rsid w:val="00044E13"/>
    <w:rsid w:val="00044FF3"/>
    <w:rsid w:val="00045194"/>
    <w:rsid w:val="00045271"/>
    <w:rsid w:val="000458E6"/>
    <w:rsid w:val="00045E51"/>
    <w:rsid w:val="00045F11"/>
    <w:rsid w:val="00046405"/>
    <w:rsid w:val="00046EFA"/>
    <w:rsid w:val="000476D8"/>
    <w:rsid w:val="000505BE"/>
    <w:rsid w:val="00051162"/>
    <w:rsid w:val="00051A81"/>
    <w:rsid w:val="00051CF3"/>
    <w:rsid w:val="00052661"/>
    <w:rsid w:val="00052E69"/>
    <w:rsid w:val="00053425"/>
    <w:rsid w:val="00054700"/>
    <w:rsid w:val="00055624"/>
    <w:rsid w:val="00055A7A"/>
    <w:rsid w:val="00056618"/>
    <w:rsid w:val="0005696F"/>
    <w:rsid w:val="0005716B"/>
    <w:rsid w:val="00057AC7"/>
    <w:rsid w:val="0006006B"/>
    <w:rsid w:val="000600F5"/>
    <w:rsid w:val="000609B5"/>
    <w:rsid w:val="00062143"/>
    <w:rsid w:val="000624B4"/>
    <w:rsid w:val="000627C2"/>
    <w:rsid w:val="0006282E"/>
    <w:rsid w:val="00062DBD"/>
    <w:rsid w:val="00062F51"/>
    <w:rsid w:val="00063674"/>
    <w:rsid w:val="0006414C"/>
    <w:rsid w:val="0006558C"/>
    <w:rsid w:val="0006591D"/>
    <w:rsid w:val="00065D29"/>
    <w:rsid w:val="00066556"/>
    <w:rsid w:val="00066A38"/>
    <w:rsid w:val="00066ED8"/>
    <w:rsid w:val="000672C8"/>
    <w:rsid w:val="000673C8"/>
    <w:rsid w:val="00067F36"/>
    <w:rsid w:val="00071F92"/>
    <w:rsid w:val="000727E4"/>
    <w:rsid w:val="00073316"/>
    <w:rsid w:val="000737FB"/>
    <w:rsid w:val="00073A92"/>
    <w:rsid w:val="00074888"/>
    <w:rsid w:val="000768A6"/>
    <w:rsid w:val="0007696E"/>
    <w:rsid w:val="000773A0"/>
    <w:rsid w:val="0008046A"/>
    <w:rsid w:val="00080BB6"/>
    <w:rsid w:val="000814CF"/>
    <w:rsid w:val="0008169B"/>
    <w:rsid w:val="000819B7"/>
    <w:rsid w:val="00082030"/>
    <w:rsid w:val="00082089"/>
    <w:rsid w:val="00082D0A"/>
    <w:rsid w:val="00082E4E"/>
    <w:rsid w:val="00084956"/>
    <w:rsid w:val="0008503B"/>
    <w:rsid w:val="0008525F"/>
    <w:rsid w:val="00086248"/>
    <w:rsid w:val="000867CC"/>
    <w:rsid w:val="00086E8E"/>
    <w:rsid w:val="0008720C"/>
    <w:rsid w:val="00090025"/>
    <w:rsid w:val="000902F8"/>
    <w:rsid w:val="0009167F"/>
    <w:rsid w:val="00091C60"/>
    <w:rsid w:val="00092B46"/>
    <w:rsid w:val="0009334E"/>
    <w:rsid w:val="000934B3"/>
    <w:rsid w:val="0009474A"/>
    <w:rsid w:val="00094955"/>
    <w:rsid w:val="00094963"/>
    <w:rsid w:val="00096998"/>
    <w:rsid w:val="000969E8"/>
    <w:rsid w:val="00097059"/>
    <w:rsid w:val="00097434"/>
    <w:rsid w:val="0009766A"/>
    <w:rsid w:val="000A088C"/>
    <w:rsid w:val="000A0EAC"/>
    <w:rsid w:val="000A1279"/>
    <w:rsid w:val="000A12B0"/>
    <w:rsid w:val="000A145E"/>
    <w:rsid w:val="000A14CF"/>
    <w:rsid w:val="000A27D6"/>
    <w:rsid w:val="000A3632"/>
    <w:rsid w:val="000A61C7"/>
    <w:rsid w:val="000A6303"/>
    <w:rsid w:val="000A7F0F"/>
    <w:rsid w:val="000B0383"/>
    <w:rsid w:val="000B1F25"/>
    <w:rsid w:val="000B1F46"/>
    <w:rsid w:val="000B391D"/>
    <w:rsid w:val="000B3B98"/>
    <w:rsid w:val="000B3D67"/>
    <w:rsid w:val="000B3FCA"/>
    <w:rsid w:val="000B4772"/>
    <w:rsid w:val="000B6A62"/>
    <w:rsid w:val="000B6BF0"/>
    <w:rsid w:val="000B6CCA"/>
    <w:rsid w:val="000B6E5F"/>
    <w:rsid w:val="000B76B1"/>
    <w:rsid w:val="000B7B43"/>
    <w:rsid w:val="000C050C"/>
    <w:rsid w:val="000C1D3E"/>
    <w:rsid w:val="000C20FA"/>
    <w:rsid w:val="000C2622"/>
    <w:rsid w:val="000C2810"/>
    <w:rsid w:val="000C29C1"/>
    <w:rsid w:val="000C4ECD"/>
    <w:rsid w:val="000C4FFD"/>
    <w:rsid w:val="000C60BE"/>
    <w:rsid w:val="000C64C0"/>
    <w:rsid w:val="000C6C88"/>
    <w:rsid w:val="000D1B0E"/>
    <w:rsid w:val="000D2782"/>
    <w:rsid w:val="000D2C0B"/>
    <w:rsid w:val="000D3518"/>
    <w:rsid w:val="000D3F03"/>
    <w:rsid w:val="000D463D"/>
    <w:rsid w:val="000D4ECB"/>
    <w:rsid w:val="000D5EAA"/>
    <w:rsid w:val="000D645A"/>
    <w:rsid w:val="000D744C"/>
    <w:rsid w:val="000E0044"/>
    <w:rsid w:val="000E0C5D"/>
    <w:rsid w:val="000E0F41"/>
    <w:rsid w:val="000E113F"/>
    <w:rsid w:val="000E2524"/>
    <w:rsid w:val="000E2F5A"/>
    <w:rsid w:val="000E31C9"/>
    <w:rsid w:val="000E3D52"/>
    <w:rsid w:val="000E3D57"/>
    <w:rsid w:val="000E3FC6"/>
    <w:rsid w:val="000E4B60"/>
    <w:rsid w:val="000E6C30"/>
    <w:rsid w:val="000E6F0E"/>
    <w:rsid w:val="000E77D6"/>
    <w:rsid w:val="000F1AE8"/>
    <w:rsid w:val="000F1EEC"/>
    <w:rsid w:val="000F1EFD"/>
    <w:rsid w:val="000F2106"/>
    <w:rsid w:val="000F43B9"/>
    <w:rsid w:val="000F46F4"/>
    <w:rsid w:val="000F4E76"/>
    <w:rsid w:val="000F4E7F"/>
    <w:rsid w:val="000F6186"/>
    <w:rsid w:val="000F6199"/>
    <w:rsid w:val="000F7333"/>
    <w:rsid w:val="000F7565"/>
    <w:rsid w:val="000F782D"/>
    <w:rsid w:val="000F78D2"/>
    <w:rsid w:val="000F7B96"/>
    <w:rsid w:val="001010EF"/>
    <w:rsid w:val="00101C8E"/>
    <w:rsid w:val="0010229B"/>
    <w:rsid w:val="00103538"/>
    <w:rsid w:val="001039EA"/>
    <w:rsid w:val="00103EFE"/>
    <w:rsid w:val="00104196"/>
    <w:rsid w:val="0010419C"/>
    <w:rsid w:val="001049F5"/>
    <w:rsid w:val="00104D0E"/>
    <w:rsid w:val="0010523C"/>
    <w:rsid w:val="00105523"/>
    <w:rsid w:val="00106ED7"/>
    <w:rsid w:val="00107071"/>
    <w:rsid w:val="00110171"/>
    <w:rsid w:val="00110529"/>
    <w:rsid w:val="00110879"/>
    <w:rsid w:val="00112302"/>
    <w:rsid w:val="0011277E"/>
    <w:rsid w:val="00112E3E"/>
    <w:rsid w:val="00113731"/>
    <w:rsid w:val="00113FAF"/>
    <w:rsid w:val="00117B83"/>
    <w:rsid w:val="00117FC5"/>
    <w:rsid w:val="00120BE8"/>
    <w:rsid w:val="001218EA"/>
    <w:rsid w:val="00121BA7"/>
    <w:rsid w:val="00122904"/>
    <w:rsid w:val="00123496"/>
    <w:rsid w:val="00124E6C"/>
    <w:rsid w:val="00124F03"/>
    <w:rsid w:val="00125526"/>
    <w:rsid w:val="00125A28"/>
    <w:rsid w:val="00125DAA"/>
    <w:rsid w:val="0013097F"/>
    <w:rsid w:val="00130AA3"/>
    <w:rsid w:val="00130E18"/>
    <w:rsid w:val="00131A50"/>
    <w:rsid w:val="00132581"/>
    <w:rsid w:val="00132720"/>
    <w:rsid w:val="00132900"/>
    <w:rsid w:val="00132ABD"/>
    <w:rsid w:val="00133403"/>
    <w:rsid w:val="00133A6E"/>
    <w:rsid w:val="001347E4"/>
    <w:rsid w:val="001348A5"/>
    <w:rsid w:val="001355CB"/>
    <w:rsid w:val="00135780"/>
    <w:rsid w:val="001361A8"/>
    <w:rsid w:val="00136307"/>
    <w:rsid w:val="001363C4"/>
    <w:rsid w:val="0013671C"/>
    <w:rsid w:val="00136FA8"/>
    <w:rsid w:val="0014018D"/>
    <w:rsid w:val="001404E2"/>
    <w:rsid w:val="00140E7D"/>
    <w:rsid w:val="001417C1"/>
    <w:rsid w:val="00141E48"/>
    <w:rsid w:val="00142923"/>
    <w:rsid w:val="00142D7F"/>
    <w:rsid w:val="00143300"/>
    <w:rsid w:val="0014343D"/>
    <w:rsid w:val="0014591A"/>
    <w:rsid w:val="00147542"/>
    <w:rsid w:val="00150120"/>
    <w:rsid w:val="001504AA"/>
    <w:rsid w:val="00150BA3"/>
    <w:rsid w:val="00150ED9"/>
    <w:rsid w:val="00151424"/>
    <w:rsid w:val="00151689"/>
    <w:rsid w:val="0015190C"/>
    <w:rsid w:val="00151A14"/>
    <w:rsid w:val="0015218A"/>
    <w:rsid w:val="001522BF"/>
    <w:rsid w:val="001530D8"/>
    <w:rsid w:val="001538F2"/>
    <w:rsid w:val="0015441C"/>
    <w:rsid w:val="00154CBB"/>
    <w:rsid w:val="0015646F"/>
    <w:rsid w:val="00156579"/>
    <w:rsid w:val="00156EC1"/>
    <w:rsid w:val="0016078A"/>
    <w:rsid w:val="001607FB"/>
    <w:rsid w:val="00160EA3"/>
    <w:rsid w:val="001612E1"/>
    <w:rsid w:val="001622E6"/>
    <w:rsid w:val="00162DD8"/>
    <w:rsid w:val="001631A0"/>
    <w:rsid w:val="00163A53"/>
    <w:rsid w:val="00163BF2"/>
    <w:rsid w:val="00163EC2"/>
    <w:rsid w:val="001650FE"/>
    <w:rsid w:val="001659D6"/>
    <w:rsid w:val="00165A13"/>
    <w:rsid w:val="00165E3E"/>
    <w:rsid w:val="001663F3"/>
    <w:rsid w:val="00166659"/>
    <w:rsid w:val="00167210"/>
    <w:rsid w:val="00167C92"/>
    <w:rsid w:val="001702F7"/>
    <w:rsid w:val="00170BA5"/>
    <w:rsid w:val="00170D13"/>
    <w:rsid w:val="00171EE9"/>
    <w:rsid w:val="00172053"/>
    <w:rsid w:val="001725D6"/>
    <w:rsid w:val="0017263B"/>
    <w:rsid w:val="00173748"/>
    <w:rsid w:val="00174F42"/>
    <w:rsid w:val="00175977"/>
    <w:rsid w:val="0017626A"/>
    <w:rsid w:val="00176D05"/>
    <w:rsid w:val="00176F8B"/>
    <w:rsid w:val="00180EB6"/>
    <w:rsid w:val="001813B0"/>
    <w:rsid w:val="001829F9"/>
    <w:rsid w:val="00184663"/>
    <w:rsid w:val="0018522E"/>
    <w:rsid w:val="00185844"/>
    <w:rsid w:val="00185A4E"/>
    <w:rsid w:val="00185BD7"/>
    <w:rsid w:val="0018607D"/>
    <w:rsid w:val="00187170"/>
    <w:rsid w:val="00191956"/>
    <w:rsid w:val="001923FD"/>
    <w:rsid w:val="00193750"/>
    <w:rsid w:val="00193D83"/>
    <w:rsid w:val="00195095"/>
    <w:rsid w:val="00196639"/>
    <w:rsid w:val="00197DB5"/>
    <w:rsid w:val="001A0A2D"/>
    <w:rsid w:val="001A119E"/>
    <w:rsid w:val="001A1225"/>
    <w:rsid w:val="001A141D"/>
    <w:rsid w:val="001A1536"/>
    <w:rsid w:val="001A15F4"/>
    <w:rsid w:val="001A2025"/>
    <w:rsid w:val="001A2A6A"/>
    <w:rsid w:val="001A31FB"/>
    <w:rsid w:val="001A69B1"/>
    <w:rsid w:val="001A76E7"/>
    <w:rsid w:val="001B0E3B"/>
    <w:rsid w:val="001B0F8F"/>
    <w:rsid w:val="001B156C"/>
    <w:rsid w:val="001B277D"/>
    <w:rsid w:val="001B41CE"/>
    <w:rsid w:val="001B4573"/>
    <w:rsid w:val="001B4685"/>
    <w:rsid w:val="001B4C15"/>
    <w:rsid w:val="001B5ADA"/>
    <w:rsid w:val="001B6C68"/>
    <w:rsid w:val="001B6F5C"/>
    <w:rsid w:val="001B778F"/>
    <w:rsid w:val="001B79B2"/>
    <w:rsid w:val="001C08EE"/>
    <w:rsid w:val="001C127E"/>
    <w:rsid w:val="001C1420"/>
    <w:rsid w:val="001C1CAA"/>
    <w:rsid w:val="001C22A8"/>
    <w:rsid w:val="001C2753"/>
    <w:rsid w:val="001C4275"/>
    <w:rsid w:val="001C4DF3"/>
    <w:rsid w:val="001C4F71"/>
    <w:rsid w:val="001C53C4"/>
    <w:rsid w:val="001C5F41"/>
    <w:rsid w:val="001D00E8"/>
    <w:rsid w:val="001D041A"/>
    <w:rsid w:val="001D068B"/>
    <w:rsid w:val="001D0705"/>
    <w:rsid w:val="001D0969"/>
    <w:rsid w:val="001D0D60"/>
    <w:rsid w:val="001D1182"/>
    <w:rsid w:val="001D2389"/>
    <w:rsid w:val="001D3BEB"/>
    <w:rsid w:val="001D3ED5"/>
    <w:rsid w:val="001D55C7"/>
    <w:rsid w:val="001D5FC8"/>
    <w:rsid w:val="001D6E44"/>
    <w:rsid w:val="001D7144"/>
    <w:rsid w:val="001D71E9"/>
    <w:rsid w:val="001D7259"/>
    <w:rsid w:val="001E000C"/>
    <w:rsid w:val="001E0ECE"/>
    <w:rsid w:val="001E1A77"/>
    <w:rsid w:val="001E1DE0"/>
    <w:rsid w:val="001E2A8B"/>
    <w:rsid w:val="001E31F5"/>
    <w:rsid w:val="001E4139"/>
    <w:rsid w:val="001E4FF8"/>
    <w:rsid w:val="001E53EB"/>
    <w:rsid w:val="001E58DF"/>
    <w:rsid w:val="001E5D5C"/>
    <w:rsid w:val="001E646A"/>
    <w:rsid w:val="001E71CB"/>
    <w:rsid w:val="001E7272"/>
    <w:rsid w:val="001F1329"/>
    <w:rsid w:val="001F1F7D"/>
    <w:rsid w:val="001F28BB"/>
    <w:rsid w:val="001F31EA"/>
    <w:rsid w:val="001F384F"/>
    <w:rsid w:val="001F3D5D"/>
    <w:rsid w:val="001F41F4"/>
    <w:rsid w:val="001F4441"/>
    <w:rsid w:val="001F47D1"/>
    <w:rsid w:val="001F54CE"/>
    <w:rsid w:val="001F7499"/>
    <w:rsid w:val="002000EF"/>
    <w:rsid w:val="00201185"/>
    <w:rsid w:val="002016F0"/>
    <w:rsid w:val="00201C98"/>
    <w:rsid w:val="00202EA4"/>
    <w:rsid w:val="00203068"/>
    <w:rsid w:val="0020309C"/>
    <w:rsid w:val="0020464B"/>
    <w:rsid w:val="00204B02"/>
    <w:rsid w:val="00204EE8"/>
    <w:rsid w:val="002058C4"/>
    <w:rsid w:val="00205E90"/>
    <w:rsid w:val="00207908"/>
    <w:rsid w:val="00207A27"/>
    <w:rsid w:val="00211255"/>
    <w:rsid w:val="002125EA"/>
    <w:rsid w:val="002129CC"/>
    <w:rsid w:val="00212E8A"/>
    <w:rsid w:val="002137AD"/>
    <w:rsid w:val="00214203"/>
    <w:rsid w:val="00214697"/>
    <w:rsid w:val="0021538B"/>
    <w:rsid w:val="00215A32"/>
    <w:rsid w:val="00216292"/>
    <w:rsid w:val="002164FE"/>
    <w:rsid w:val="002201BE"/>
    <w:rsid w:val="0022028A"/>
    <w:rsid w:val="002206EF"/>
    <w:rsid w:val="00220A1B"/>
    <w:rsid w:val="00221B5C"/>
    <w:rsid w:val="00221B7B"/>
    <w:rsid w:val="0022238A"/>
    <w:rsid w:val="002223EE"/>
    <w:rsid w:val="002224E9"/>
    <w:rsid w:val="002228F4"/>
    <w:rsid w:val="00224001"/>
    <w:rsid w:val="002243D0"/>
    <w:rsid w:val="002247A3"/>
    <w:rsid w:val="00225783"/>
    <w:rsid w:val="00225EA3"/>
    <w:rsid w:val="002266D3"/>
    <w:rsid w:val="002279DB"/>
    <w:rsid w:val="002310D5"/>
    <w:rsid w:val="00231591"/>
    <w:rsid w:val="0023213B"/>
    <w:rsid w:val="00232CC6"/>
    <w:rsid w:val="002331E4"/>
    <w:rsid w:val="00233C9D"/>
    <w:rsid w:val="002354D7"/>
    <w:rsid w:val="00236E35"/>
    <w:rsid w:val="002377B0"/>
    <w:rsid w:val="00237BFE"/>
    <w:rsid w:val="00240197"/>
    <w:rsid w:val="00240C3D"/>
    <w:rsid w:val="002424E5"/>
    <w:rsid w:val="002429EF"/>
    <w:rsid w:val="00242EBC"/>
    <w:rsid w:val="00243220"/>
    <w:rsid w:val="002432AF"/>
    <w:rsid w:val="00243718"/>
    <w:rsid w:val="0024372F"/>
    <w:rsid w:val="002444AE"/>
    <w:rsid w:val="00245773"/>
    <w:rsid w:val="00246617"/>
    <w:rsid w:val="00246AB3"/>
    <w:rsid w:val="00247972"/>
    <w:rsid w:val="00247A15"/>
    <w:rsid w:val="00247DF0"/>
    <w:rsid w:val="00250170"/>
    <w:rsid w:val="0025181B"/>
    <w:rsid w:val="00252028"/>
    <w:rsid w:val="002537F5"/>
    <w:rsid w:val="0025380B"/>
    <w:rsid w:val="002538C0"/>
    <w:rsid w:val="00253C4B"/>
    <w:rsid w:val="0025491D"/>
    <w:rsid w:val="00254FF4"/>
    <w:rsid w:val="00255717"/>
    <w:rsid w:val="00255838"/>
    <w:rsid w:val="00255D74"/>
    <w:rsid w:val="00257C16"/>
    <w:rsid w:val="00257F8A"/>
    <w:rsid w:val="00261588"/>
    <w:rsid w:val="00261597"/>
    <w:rsid w:val="002615CA"/>
    <w:rsid w:val="00261710"/>
    <w:rsid w:val="00261EE8"/>
    <w:rsid w:val="00262947"/>
    <w:rsid w:val="00262950"/>
    <w:rsid w:val="00262F79"/>
    <w:rsid w:val="00263355"/>
    <w:rsid w:val="00263CFB"/>
    <w:rsid w:val="00264C6B"/>
    <w:rsid w:val="00264F40"/>
    <w:rsid w:val="00265339"/>
    <w:rsid w:val="002667F2"/>
    <w:rsid w:val="0026720A"/>
    <w:rsid w:val="0026773A"/>
    <w:rsid w:val="00267B49"/>
    <w:rsid w:val="002708C7"/>
    <w:rsid w:val="00270C18"/>
    <w:rsid w:val="002714A1"/>
    <w:rsid w:val="002724A1"/>
    <w:rsid w:val="00272BA5"/>
    <w:rsid w:val="00273507"/>
    <w:rsid w:val="00274B16"/>
    <w:rsid w:val="00275241"/>
    <w:rsid w:val="00277270"/>
    <w:rsid w:val="00277BE9"/>
    <w:rsid w:val="002801D5"/>
    <w:rsid w:val="00281283"/>
    <w:rsid w:val="002853A3"/>
    <w:rsid w:val="00285621"/>
    <w:rsid w:val="002860A4"/>
    <w:rsid w:val="0028615A"/>
    <w:rsid w:val="00287EA4"/>
    <w:rsid w:val="00290A8F"/>
    <w:rsid w:val="00290AF1"/>
    <w:rsid w:val="0029112B"/>
    <w:rsid w:val="00291352"/>
    <w:rsid w:val="00291434"/>
    <w:rsid w:val="00292016"/>
    <w:rsid w:val="00292264"/>
    <w:rsid w:val="002926A8"/>
    <w:rsid w:val="002930CE"/>
    <w:rsid w:val="0029325D"/>
    <w:rsid w:val="00293C1A"/>
    <w:rsid w:val="00293C3A"/>
    <w:rsid w:val="00294DE8"/>
    <w:rsid w:val="00295051"/>
    <w:rsid w:val="00295920"/>
    <w:rsid w:val="002965EA"/>
    <w:rsid w:val="00297100"/>
    <w:rsid w:val="002A0595"/>
    <w:rsid w:val="002A1CDB"/>
    <w:rsid w:val="002A2A69"/>
    <w:rsid w:val="002A2FAC"/>
    <w:rsid w:val="002A300C"/>
    <w:rsid w:val="002A3939"/>
    <w:rsid w:val="002A505C"/>
    <w:rsid w:val="002A5592"/>
    <w:rsid w:val="002A5E9E"/>
    <w:rsid w:val="002A6473"/>
    <w:rsid w:val="002A67F5"/>
    <w:rsid w:val="002A6CD4"/>
    <w:rsid w:val="002A7514"/>
    <w:rsid w:val="002A7E40"/>
    <w:rsid w:val="002B0BF5"/>
    <w:rsid w:val="002B2F81"/>
    <w:rsid w:val="002B33E9"/>
    <w:rsid w:val="002B355E"/>
    <w:rsid w:val="002B3E67"/>
    <w:rsid w:val="002B4CA3"/>
    <w:rsid w:val="002B5749"/>
    <w:rsid w:val="002B7BA9"/>
    <w:rsid w:val="002C0421"/>
    <w:rsid w:val="002C0B78"/>
    <w:rsid w:val="002C102E"/>
    <w:rsid w:val="002C1DFD"/>
    <w:rsid w:val="002C2F13"/>
    <w:rsid w:val="002C4025"/>
    <w:rsid w:val="002C47EF"/>
    <w:rsid w:val="002C5158"/>
    <w:rsid w:val="002C58BF"/>
    <w:rsid w:val="002C6B21"/>
    <w:rsid w:val="002C705C"/>
    <w:rsid w:val="002C7EF4"/>
    <w:rsid w:val="002D0530"/>
    <w:rsid w:val="002D05A6"/>
    <w:rsid w:val="002D0AA0"/>
    <w:rsid w:val="002D0AD3"/>
    <w:rsid w:val="002D0AF6"/>
    <w:rsid w:val="002D0CEE"/>
    <w:rsid w:val="002D0E96"/>
    <w:rsid w:val="002D1975"/>
    <w:rsid w:val="002D2261"/>
    <w:rsid w:val="002D230A"/>
    <w:rsid w:val="002D2B08"/>
    <w:rsid w:val="002D357A"/>
    <w:rsid w:val="002D5F32"/>
    <w:rsid w:val="002D6230"/>
    <w:rsid w:val="002D6DCF"/>
    <w:rsid w:val="002D6E3A"/>
    <w:rsid w:val="002D7103"/>
    <w:rsid w:val="002D7508"/>
    <w:rsid w:val="002E0D1B"/>
    <w:rsid w:val="002E1772"/>
    <w:rsid w:val="002E2217"/>
    <w:rsid w:val="002E28EB"/>
    <w:rsid w:val="002E290F"/>
    <w:rsid w:val="002E29A7"/>
    <w:rsid w:val="002E32CD"/>
    <w:rsid w:val="002E3A3B"/>
    <w:rsid w:val="002E3E5F"/>
    <w:rsid w:val="002E45B9"/>
    <w:rsid w:val="002E489F"/>
    <w:rsid w:val="002E547F"/>
    <w:rsid w:val="002E580F"/>
    <w:rsid w:val="002E5B18"/>
    <w:rsid w:val="002E5CF5"/>
    <w:rsid w:val="002E7BF2"/>
    <w:rsid w:val="002F049D"/>
    <w:rsid w:val="002F0A42"/>
    <w:rsid w:val="002F1127"/>
    <w:rsid w:val="002F1314"/>
    <w:rsid w:val="002F17BA"/>
    <w:rsid w:val="002F185A"/>
    <w:rsid w:val="002F1F4A"/>
    <w:rsid w:val="002F232B"/>
    <w:rsid w:val="002F3DB9"/>
    <w:rsid w:val="002F427A"/>
    <w:rsid w:val="002F48D4"/>
    <w:rsid w:val="002F51BD"/>
    <w:rsid w:val="002F54C9"/>
    <w:rsid w:val="002F566B"/>
    <w:rsid w:val="002F7255"/>
    <w:rsid w:val="002F7782"/>
    <w:rsid w:val="002F77D9"/>
    <w:rsid w:val="00300574"/>
    <w:rsid w:val="0030181B"/>
    <w:rsid w:val="003024D4"/>
    <w:rsid w:val="003029DC"/>
    <w:rsid w:val="00302B54"/>
    <w:rsid w:val="00303CDE"/>
    <w:rsid w:val="003045F4"/>
    <w:rsid w:val="00304AF2"/>
    <w:rsid w:val="00304E7D"/>
    <w:rsid w:val="00304EFD"/>
    <w:rsid w:val="0030574F"/>
    <w:rsid w:val="00306202"/>
    <w:rsid w:val="00307D62"/>
    <w:rsid w:val="00307FCA"/>
    <w:rsid w:val="00310554"/>
    <w:rsid w:val="0031235D"/>
    <w:rsid w:val="00312853"/>
    <w:rsid w:val="0031374E"/>
    <w:rsid w:val="00314D29"/>
    <w:rsid w:val="00315BE0"/>
    <w:rsid w:val="00315BF4"/>
    <w:rsid w:val="00315D82"/>
    <w:rsid w:val="00315DAC"/>
    <w:rsid w:val="00316B0F"/>
    <w:rsid w:val="0031716E"/>
    <w:rsid w:val="003172EE"/>
    <w:rsid w:val="003175FB"/>
    <w:rsid w:val="00321492"/>
    <w:rsid w:val="00322798"/>
    <w:rsid w:val="00322F2D"/>
    <w:rsid w:val="003237A4"/>
    <w:rsid w:val="00323BE3"/>
    <w:rsid w:val="00323C0D"/>
    <w:rsid w:val="00324967"/>
    <w:rsid w:val="00325BAE"/>
    <w:rsid w:val="00325F46"/>
    <w:rsid w:val="00326388"/>
    <w:rsid w:val="0032668B"/>
    <w:rsid w:val="00327233"/>
    <w:rsid w:val="003302F4"/>
    <w:rsid w:val="003307C3"/>
    <w:rsid w:val="00331502"/>
    <w:rsid w:val="00331DBD"/>
    <w:rsid w:val="00331E0D"/>
    <w:rsid w:val="00331FEB"/>
    <w:rsid w:val="003332E2"/>
    <w:rsid w:val="003342DB"/>
    <w:rsid w:val="00334352"/>
    <w:rsid w:val="00334BC5"/>
    <w:rsid w:val="00334CE2"/>
    <w:rsid w:val="00334DD6"/>
    <w:rsid w:val="00335DB9"/>
    <w:rsid w:val="00336528"/>
    <w:rsid w:val="00336B57"/>
    <w:rsid w:val="00337597"/>
    <w:rsid w:val="00337815"/>
    <w:rsid w:val="00337969"/>
    <w:rsid w:val="003379FF"/>
    <w:rsid w:val="00337F65"/>
    <w:rsid w:val="00337FF4"/>
    <w:rsid w:val="003413F0"/>
    <w:rsid w:val="003417F7"/>
    <w:rsid w:val="00341CAB"/>
    <w:rsid w:val="00342EB6"/>
    <w:rsid w:val="00343281"/>
    <w:rsid w:val="003434C4"/>
    <w:rsid w:val="003439F9"/>
    <w:rsid w:val="00343A07"/>
    <w:rsid w:val="00343CB8"/>
    <w:rsid w:val="00344655"/>
    <w:rsid w:val="00345447"/>
    <w:rsid w:val="00345504"/>
    <w:rsid w:val="00345939"/>
    <w:rsid w:val="003474A9"/>
    <w:rsid w:val="00351127"/>
    <w:rsid w:val="00351FCF"/>
    <w:rsid w:val="00352A3F"/>
    <w:rsid w:val="00352B8D"/>
    <w:rsid w:val="00352E72"/>
    <w:rsid w:val="00354B90"/>
    <w:rsid w:val="00354D69"/>
    <w:rsid w:val="00354D9C"/>
    <w:rsid w:val="003555D4"/>
    <w:rsid w:val="003574D0"/>
    <w:rsid w:val="00357544"/>
    <w:rsid w:val="0035773C"/>
    <w:rsid w:val="00360A39"/>
    <w:rsid w:val="00360B5D"/>
    <w:rsid w:val="00360CA9"/>
    <w:rsid w:val="0036143D"/>
    <w:rsid w:val="00361788"/>
    <w:rsid w:val="00361BB1"/>
    <w:rsid w:val="00362075"/>
    <w:rsid w:val="0036217E"/>
    <w:rsid w:val="0036262D"/>
    <w:rsid w:val="00363673"/>
    <w:rsid w:val="0036480C"/>
    <w:rsid w:val="0036488C"/>
    <w:rsid w:val="00366B5B"/>
    <w:rsid w:val="00366BE9"/>
    <w:rsid w:val="00366E5C"/>
    <w:rsid w:val="00367107"/>
    <w:rsid w:val="00367150"/>
    <w:rsid w:val="003671A1"/>
    <w:rsid w:val="00367FCB"/>
    <w:rsid w:val="00370C93"/>
    <w:rsid w:val="00371E13"/>
    <w:rsid w:val="00372575"/>
    <w:rsid w:val="003729B9"/>
    <w:rsid w:val="00372C2A"/>
    <w:rsid w:val="003731CF"/>
    <w:rsid w:val="00375349"/>
    <w:rsid w:val="0037670A"/>
    <w:rsid w:val="00377FA2"/>
    <w:rsid w:val="00380856"/>
    <w:rsid w:val="00382284"/>
    <w:rsid w:val="003843DE"/>
    <w:rsid w:val="00385833"/>
    <w:rsid w:val="00385CC2"/>
    <w:rsid w:val="00386AEA"/>
    <w:rsid w:val="00387224"/>
    <w:rsid w:val="003878DD"/>
    <w:rsid w:val="00387C75"/>
    <w:rsid w:val="00391FAB"/>
    <w:rsid w:val="00392029"/>
    <w:rsid w:val="00392626"/>
    <w:rsid w:val="0039281A"/>
    <w:rsid w:val="00392AD4"/>
    <w:rsid w:val="0039429D"/>
    <w:rsid w:val="00394630"/>
    <w:rsid w:val="00396640"/>
    <w:rsid w:val="003966D6"/>
    <w:rsid w:val="003A002E"/>
    <w:rsid w:val="003A132C"/>
    <w:rsid w:val="003A2045"/>
    <w:rsid w:val="003A2543"/>
    <w:rsid w:val="003A2DE0"/>
    <w:rsid w:val="003A4154"/>
    <w:rsid w:val="003A4574"/>
    <w:rsid w:val="003A4ECF"/>
    <w:rsid w:val="003A53CD"/>
    <w:rsid w:val="003A6173"/>
    <w:rsid w:val="003A772D"/>
    <w:rsid w:val="003B0C8C"/>
    <w:rsid w:val="003B141D"/>
    <w:rsid w:val="003B246A"/>
    <w:rsid w:val="003B2A50"/>
    <w:rsid w:val="003B2C7F"/>
    <w:rsid w:val="003B4089"/>
    <w:rsid w:val="003B4E59"/>
    <w:rsid w:val="003B5366"/>
    <w:rsid w:val="003B5CE7"/>
    <w:rsid w:val="003B5EB8"/>
    <w:rsid w:val="003B61E4"/>
    <w:rsid w:val="003B6DD3"/>
    <w:rsid w:val="003B742E"/>
    <w:rsid w:val="003B7452"/>
    <w:rsid w:val="003B79DF"/>
    <w:rsid w:val="003C03E9"/>
    <w:rsid w:val="003C09FE"/>
    <w:rsid w:val="003C1507"/>
    <w:rsid w:val="003C2087"/>
    <w:rsid w:val="003C20A5"/>
    <w:rsid w:val="003C30F7"/>
    <w:rsid w:val="003C39CC"/>
    <w:rsid w:val="003C40FB"/>
    <w:rsid w:val="003C42E6"/>
    <w:rsid w:val="003C5228"/>
    <w:rsid w:val="003C534F"/>
    <w:rsid w:val="003C5E02"/>
    <w:rsid w:val="003C6851"/>
    <w:rsid w:val="003C6A55"/>
    <w:rsid w:val="003C6B8A"/>
    <w:rsid w:val="003C71F3"/>
    <w:rsid w:val="003C7DEA"/>
    <w:rsid w:val="003C7FD5"/>
    <w:rsid w:val="003D0BB2"/>
    <w:rsid w:val="003D10B7"/>
    <w:rsid w:val="003D1536"/>
    <w:rsid w:val="003D29E9"/>
    <w:rsid w:val="003D2BBD"/>
    <w:rsid w:val="003D3650"/>
    <w:rsid w:val="003D3BF5"/>
    <w:rsid w:val="003D3F93"/>
    <w:rsid w:val="003D4C03"/>
    <w:rsid w:val="003D53D8"/>
    <w:rsid w:val="003D55AE"/>
    <w:rsid w:val="003D5727"/>
    <w:rsid w:val="003D5FC7"/>
    <w:rsid w:val="003D6B4A"/>
    <w:rsid w:val="003D6F79"/>
    <w:rsid w:val="003D746D"/>
    <w:rsid w:val="003D7A58"/>
    <w:rsid w:val="003E0AD8"/>
    <w:rsid w:val="003E0ADC"/>
    <w:rsid w:val="003E2779"/>
    <w:rsid w:val="003E353E"/>
    <w:rsid w:val="003E36C7"/>
    <w:rsid w:val="003E5461"/>
    <w:rsid w:val="003E6423"/>
    <w:rsid w:val="003E6B51"/>
    <w:rsid w:val="003E703C"/>
    <w:rsid w:val="003E71A6"/>
    <w:rsid w:val="003F0590"/>
    <w:rsid w:val="003F071F"/>
    <w:rsid w:val="003F1FD9"/>
    <w:rsid w:val="003F2118"/>
    <w:rsid w:val="003F3839"/>
    <w:rsid w:val="003F39DF"/>
    <w:rsid w:val="003F402A"/>
    <w:rsid w:val="003F47B3"/>
    <w:rsid w:val="003F47FB"/>
    <w:rsid w:val="003F62B4"/>
    <w:rsid w:val="003F6D5F"/>
    <w:rsid w:val="003F7527"/>
    <w:rsid w:val="003F7883"/>
    <w:rsid w:val="004000BA"/>
    <w:rsid w:val="00400588"/>
    <w:rsid w:val="00401A20"/>
    <w:rsid w:val="0040311B"/>
    <w:rsid w:val="00403A9B"/>
    <w:rsid w:val="00405BB4"/>
    <w:rsid w:val="004063BD"/>
    <w:rsid w:val="004063D6"/>
    <w:rsid w:val="00406A6D"/>
    <w:rsid w:val="00407210"/>
    <w:rsid w:val="004078FD"/>
    <w:rsid w:val="00410097"/>
    <w:rsid w:val="004107B3"/>
    <w:rsid w:val="00410844"/>
    <w:rsid w:val="00410F56"/>
    <w:rsid w:val="00410FE7"/>
    <w:rsid w:val="004116B5"/>
    <w:rsid w:val="00411C50"/>
    <w:rsid w:val="0041238A"/>
    <w:rsid w:val="00413304"/>
    <w:rsid w:val="0041337C"/>
    <w:rsid w:val="0041382C"/>
    <w:rsid w:val="004168DB"/>
    <w:rsid w:val="00417139"/>
    <w:rsid w:val="00417562"/>
    <w:rsid w:val="0042021F"/>
    <w:rsid w:val="00420481"/>
    <w:rsid w:val="00420528"/>
    <w:rsid w:val="00421091"/>
    <w:rsid w:val="00421D06"/>
    <w:rsid w:val="004226B8"/>
    <w:rsid w:val="004227C4"/>
    <w:rsid w:val="00423019"/>
    <w:rsid w:val="00423679"/>
    <w:rsid w:val="0042381A"/>
    <w:rsid w:val="00423FC4"/>
    <w:rsid w:val="00425C83"/>
    <w:rsid w:val="00425D35"/>
    <w:rsid w:val="004262AB"/>
    <w:rsid w:val="00426C64"/>
    <w:rsid w:val="00426D75"/>
    <w:rsid w:val="00427E49"/>
    <w:rsid w:val="00430152"/>
    <w:rsid w:val="00430A44"/>
    <w:rsid w:val="00431069"/>
    <w:rsid w:val="004320B2"/>
    <w:rsid w:val="00432133"/>
    <w:rsid w:val="00432620"/>
    <w:rsid w:val="004329F5"/>
    <w:rsid w:val="00432B38"/>
    <w:rsid w:val="00433283"/>
    <w:rsid w:val="004333A4"/>
    <w:rsid w:val="004336A7"/>
    <w:rsid w:val="00433909"/>
    <w:rsid w:val="00433EE7"/>
    <w:rsid w:val="004349B8"/>
    <w:rsid w:val="00434B8E"/>
    <w:rsid w:val="00434DC0"/>
    <w:rsid w:val="004372FD"/>
    <w:rsid w:val="00440428"/>
    <w:rsid w:val="00440F4D"/>
    <w:rsid w:val="00441C09"/>
    <w:rsid w:val="0044204C"/>
    <w:rsid w:val="00442489"/>
    <w:rsid w:val="004434D9"/>
    <w:rsid w:val="00443D53"/>
    <w:rsid w:val="00443F07"/>
    <w:rsid w:val="004443A2"/>
    <w:rsid w:val="004459BE"/>
    <w:rsid w:val="00445B43"/>
    <w:rsid w:val="004477A1"/>
    <w:rsid w:val="00447803"/>
    <w:rsid w:val="00447AF6"/>
    <w:rsid w:val="00447BC1"/>
    <w:rsid w:val="00447CE3"/>
    <w:rsid w:val="00447F23"/>
    <w:rsid w:val="00450246"/>
    <w:rsid w:val="004504C7"/>
    <w:rsid w:val="00450AA0"/>
    <w:rsid w:val="00450E87"/>
    <w:rsid w:val="0045173D"/>
    <w:rsid w:val="004529DB"/>
    <w:rsid w:val="004536C2"/>
    <w:rsid w:val="00453AEA"/>
    <w:rsid w:val="004544E9"/>
    <w:rsid w:val="00454582"/>
    <w:rsid w:val="0045611C"/>
    <w:rsid w:val="00456571"/>
    <w:rsid w:val="00460AD3"/>
    <w:rsid w:val="00460B5D"/>
    <w:rsid w:val="00461ABC"/>
    <w:rsid w:val="00461B16"/>
    <w:rsid w:val="00461B7A"/>
    <w:rsid w:val="00461DE2"/>
    <w:rsid w:val="00461EBD"/>
    <w:rsid w:val="00462C92"/>
    <w:rsid w:val="00462D0F"/>
    <w:rsid w:val="00463877"/>
    <w:rsid w:val="00464085"/>
    <w:rsid w:val="004644E3"/>
    <w:rsid w:val="00466468"/>
    <w:rsid w:val="00466AB7"/>
    <w:rsid w:val="00470C0C"/>
    <w:rsid w:val="004710C0"/>
    <w:rsid w:val="00471A8B"/>
    <w:rsid w:val="0047223B"/>
    <w:rsid w:val="004722E0"/>
    <w:rsid w:val="00474349"/>
    <w:rsid w:val="004757C8"/>
    <w:rsid w:val="00476248"/>
    <w:rsid w:val="004764A8"/>
    <w:rsid w:val="004769A8"/>
    <w:rsid w:val="00476ECD"/>
    <w:rsid w:val="00476F21"/>
    <w:rsid w:val="00477645"/>
    <w:rsid w:val="00477A5A"/>
    <w:rsid w:val="00477D43"/>
    <w:rsid w:val="00477EE0"/>
    <w:rsid w:val="0048053E"/>
    <w:rsid w:val="00480560"/>
    <w:rsid w:val="00480A04"/>
    <w:rsid w:val="00480A2C"/>
    <w:rsid w:val="00482FCD"/>
    <w:rsid w:val="0048365D"/>
    <w:rsid w:val="00483776"/>
    <w:rsid w:val="00485020"/>
    <w:rsid w:val="004855D8"/>
    <w:rsid w:val="004862BC"/>
    <w:rsid w:val="004863D2"/>
    <w:rsid w:val="0048668F"/>
    <w:rsid w:val="00486C70"/>
    <w:rsid w:val="00486C8E"/>
    <w:rsid w:val="004872B7"/>
    <w:rsid w:val="0048732D"/>
    <w:rsid w:val="004878FB"/>
    <w:rsid w:val="00490676"/>
    <w:rsid w:val="00490A8E"/>
    <w:rsid w:val="004910F2"/>
    <w:rsid w:val="00491BAA"/>
    <w:rsid w:val="004925FA"/>
    <w:rsid w:val="004928AB"/>
    <w:rsid w:val="00493ADE"/>
    <w:rsid w:val="00494109"/>
    <w:rsid w:val="00494720"/>
    <w:rsid w:val="00494A20"/>
    <w:rsid w:val="00494B54"/>
    <w:rsid w:val="00495BAE"/>
    <w:rsid w:val="004960E3"/>
    <w:rsid w:val="00496361"/>
    <w:rsid w:val="0049715D"/>
    <w:rsid w:val="00497923"/>
    <w:rsid w:val="004A05BF"/>
    <w:rsid w:val="004A17BF"/>
    <w:rsid w:val="004A238F"/>
    <w:rsid w:val="004A2648"/>
    <w:rsid w:val="004A3662"/>
    <w:rsid w:val="004A382D"/>
    <w:rsid w:val="004A4693"/>
    <w:rsid w:val="004A4AF8"/>
    <w:rsid w:val="004A4D62"/>
    <w:rsid w:val="004A5FBF"/>
    <w:rsid w:val="004A6947"/>
    <w:rsid w:val="004A7125"/>
    <w:rsid w:val="004A7336"/>
    <w:rsid w:val="004A7E83"/>
    <w:rsid w:val="004B0A56"/>
    <w:rsid w:val="004B0F75"/>
    <w:rsid w:val="004B11A7"/>
    <w:rsid w:val="004B2B00"/>
    <w:rsid w:val="004B3191"/>
    <w:rsid w:val="004B42E7"/>
    <w:rsid w:val="004B5F60"/>
    <w:rsid w:val="004B60CA"/>
    <w:rsid w:val="004B6201"/>
    <w:rsid w:val="004B665B"/>
    <w:rsid w:val="004B6933"/>
    <w:rsid w:val="004B69D6"/>
    <w:rsid w:val="004B70E2"/>
    <w:rsid w:val="004B7A21"/>
    <w:rsid w:val="004C01FF"/>
    <w:rsid w:val="004C07FE"/>
    <w:rsid w:val="004C0E96"/>
    <w:rsid w:val="004C1718"/>
    <w:rsid w:val="004C23B4"/>
    <w:rsid w:val="004C3627"/>
    <w:rsid w:val="004C3C3E"/>
    <w:rsid w:val="004C3CBF"/>
    <w:rsid w:val="004C464C"/>
    <w:rsid w:val="004C4732"/>
    <w:rsid w:val="004C6AA9"/>
    <w:rsid w:val="004C6ACC"/>
    <w:rsid w:val="004C6E04"/>
    <w:rsid w:val="004D0961"/>
    <w:rsid w:val="004D125E"/>
    <w:rsid w:val="004D1299"/>
    <w:rsid w:val="004D1853"/>
    <w:rsid w:val="004D1CED"/>
    <w:rsid w:val="004D357C"/>
    <w:rsid w:val="004D35AD"/>
    <w:rsid w:val="004D4459"/>
    <w:rsid w:val="004D6D7D"/>
    <w:rsid w:val="004D72CA"/>
    <w:rsid w:val="004D7A70"/>
    <w:rsid w:val="004E0EC5"/>
    <w:rsid w:val="004E120E"/>
    <w:rsid w:val="004E26C4"/>
    <w:rsid w:val="004E3294"/>
    <w:rsid w:val="004E461F"/>
    <w:rsid w:val="004E4FDD"/>
    <w:rsid w:val="004E5D46"/>
    <w:rsid w:val="004E6A7A"/>
    <w:rsid w:val="004E78B8"/>
    <w:rsid w:val="004E7967"/>
    <w:rsid w:val="004F0605"/>
    <w:rsid w:val="004F06EA"/>
    <w:rsid w:val="004F27CF"/>
    <w:rsid w:val="004F29D8"/>
    <w:rsid w:val="004F2C4C"/>
    <w:rsid w:val="004F3585"/>
    <w:rsid w:val="004F3B3A"/>
    <w:rsid w:val="004F3C7C"/>
    <w:rsid w:val="004F401D"/>
    <w:rsid w:val="004F4076"/>
    <w:rsid w:val="004F541A"/>
    <w:rsid w:val="004F570C"/>
    <w:rsid w:val="004F6D2D"/>
    <w:rsid w:val="004F710F"/>
    <w:rsid w:val="004F7385"/>
    <w:rsid w:val="004F7395"/>
    <w:rsid w:val="004F76E2"/>
    <w:rsid w:val="004F7912"/>
    <w:rsid w:val="00502829"/>
    <w:rsid w:val="00502CEF"/>
    <w:rsid w:val="00503953"/>
    <w:rsid w:val="00504EBF"/>
    <w:rsid w:val="0050524C"/>
    <w:rsid w:val="005052F0"/>
    <w:rsid w:val="00505C32"/>
    <w:rsid w:val="00505F81"/>
    <w:rsid w:val="00506748"/>
    <w:rsid w:val="00506E5C"/>
    <w:rsid w:val="00507EE2"/>
    <w:rsid w:val="0051137F"/>
    <w:rsid w:val="005115D6"/>
    <w:rsid w:val="0051169B"/>
    <w:rsid w:val="00512103"/>
    <w:rsid w:val="005121A0"/>
    <w:rsid w:val="00512597"/>
    <w:rsid w:val="00512A70"/>
    <w:rsid w:val="00512AC1"/>
    <w:rsid w:val="00512D48"/>
    <w:rsid w:val="00514EB8"/>
    <w:rsid w:val="00515877"/>
    <w:rsid w:val="0051673C"/>
    <w:rsid w:val="005169BB"/>
    <w:rsid w:val="0052014E"/>
    <w:rsid w:val="00521D1C"/>
    <w:rsid w:val="00521D36"/>
    <w:rsid w:val="005220E1"/>
    <w:rsid w:val="005225E0"/>
    <w:rsid w:val="0052297A"/>
    <w:rsid w:val="00522992"/>
    <w:rsid w:val="00522A51"/>
    <w:rsid w:val="00523452"/>
    <w:rsid w:val="00523C4F"/>
    <w:rsid w:val="00523E1B"/>
    <w:rsid w:val="00524517"/>
    <w:rsid w:val="005248B7"/>
    <w:rsid w:val="005249C5"/>
    <w:rsid w:val="00524CB1"/>
    <w:rsid w:val="00525244"/>
    <w:rsid w:val="0052539D"/>
    <w:rsid w:val="00525866"/>
    <w:rsid w:val="005277FE"/>
    <w:rsid w:val="00527A9F"/>
    <w:rsid w:val="00527D7E"/>
    <w:rsid w:val="00527F4C"/>
    <w:rsid w:val="00530BA6"/>
    <w:rsid w:val="00531937"/>
    <w:rsid w:val="00531999"/>
    <w:rsid w:val="00531C08"/>
    <w:rsid w:val="00532607"/>
    <w:rsid w:val="00532C20"/>
    <w:rsid w:val="00534502"/>
    <w:rsid w:val="00535056"/>
    <w:rsid w:val="00536017"/>
    <w:rsid w:val="0053651E"/>
    <w:rsid w:val="00537AF1"/>
    <w:rsid w:val="00540070"/>
    <w:rsid w:val="00541179"/>
    <w:rsid w:val="00543698"/>
    <w:rsid w:val="00543803"/>
    <w:rsid w:val="00543906"/>
    <w:rsid w:val="00543988"/>
    <w:rsid w:val="0054462D"/>
    <w:rsid w:val="00544DF4"/>
    <w:rsid w:val="00544E58"/>
    <w:rsid w:val="0054543E"/>
    <w:rsid w:val="00546014"/>
    <w:rsid w:val="0054692A"/>
    <w:rsid w:val="00546ADB"/>
    <w:rsid w:val="00547983"/>
    <w:rsid w:val="00547A27"/>
    <w:rsid w:val="00547AD7"/>
    <w:rsid w:val="00547E99"/>
    <w:rsid w:val="0055110F"/>
    <w:rsid w:val="0055132F"/>
    <w:rsid w:val="005523C8"/>
    <w:rsid w:val="0055275F"/>
    <w:rsid w:val="00554347"/>
    <w:rsid w:val="00554B22"/>
    <w:rsid w:val="00554D35"/>
    <w:rsid w:val="005550E8"/>
    <w:rsid w:val="0055560B"/>
    <w:rsid w:val="00555FCC"/>
    <w:rsid w:val="005563B1"/>
    <w:rsid w:val="0055695B"/>
    <w:rsid w:val="00560056"/>
    <w:rsid w:val="00560261"/>
    <w:rsid w:val="0056070F"/>
    <w:rsid w:val="0056074B"/>
    <w:rsid w:val="00560AF9"/>
    <w:rsid w:val="00560B26"/>
    <w:rsid w:val="00560B9C"/>
    <w:rsid w:val="00560E52"/>
    <w:rsid w:val="00561286"/>
    <w:rsid w:val="00561F6F"/>
    <w:rsid w:val="005620AD"/>
    <w:rsid w:val="00563B43"/>
    <w:rsid w:val="00563E49"/>
    <w:rsid w:val="00563E51"/>
    <w:rsid w:val="00564569"/>
    <w:rsid w:val="00565959"/>
    <w:rsid w:val="005679D7"/>
    <w:rsid w:val="00567B27"/>
    <w:rsid w:val="00570114"/>
    <w:rsid w:val="005704DC"/>
    <w:rsid w:val="00571552"/>
    <w:rsid w:val="005718D9"/>
    <w:rsid w:val="00571930"/>
    <w:rsid w:val="00572B64"/>
    <w:rsid w:val="00572C1F"/>
    <w:rsid w:val="0057491D"/>
    <w:rsid w:val="005753AC"/>
    <w:rsid w:val="00575610"/>
    <w:rsid w:val="00575CDC"/>
    <w:rsid w:val="005762D3"/>
    <w:rsid w:val="00576E63"/>
    <w:rsid w:val="00577FEA"/>
    <w:rsid w:val="005808C6"/>
    <w:rsid w:val="005838D4"/>
    <w:rsid w:val="00583F89"/>
    <w:rsid w:val="005842B5"/>
    <w:rsid w:val="00584E0D"/>
    <w:rsid w:val="0058506E"/>
    <w:rsid w:val="00585F3C"/>
    <w:rsid w:val="005867CF"/>
    <w:rsid w:val="0058709F"/>
    <w:rsid w:val="00587193"/>
    <w:rsid w:val="005907C6"/>
    <w:rsid w:val="00591763"/>
    <w:rsid w:val="005918B0"/>
    <w:rsid w:val="005921F9"/>
    <w:rsid w:val="00592E0E"/>
    <w:rsid w:val="0059319B"/>
    <w:rsid w:val="00593D62"/>
    <w:rsid w:val="005944F7"/>
    <w:rsid w:val="00595BAD"/>
    <w:rsid w:val="005967D1"/>
    <w:rsid w:val="00596C60"/>
    <w:rsid w:val="00597BFF"/>
    <w:rsid w:val="005A0501"/>
    <w:rsid w:val="005A0692"/>
    <w:rsid w:val="005A14B9"/>
    <w:rsid w:val="005A1A2E"/>
    <w:rsid w:val="005A233F"/>
    <w:rsid w:val="005A2DE3"/>
    <w:rsid w:val="005A3160"/>
    <w:rsid w:val="005A354C"/>
    <w:rsid w:val="005A3E8C"/>
    <w:rsid w:val="005A49CF"/>
    <w:rsid w:val="005A4ABC"/>
    <w:rsid w:val="005A4D94"/>
    <w:rsid w:val="005A5E69"/>
    <w:rsid w:val="005A72FB"/>
    <w:rsid w:val="005A7423"/>
    <w:rsid w:val="005A7C64"/>
    <w:rsid w:val="005B0366"/>
    <w:rsid w:val="005B12C0"/>
    <w:rsid w:val="005B15A2"/>
    <w:rsid w:val="005B1DB8"/>
    <w:rsid w:val="005B2141"/>
    <w:rsid w:val="005B24EE"/>
    <w:rsid w:val="005B2ED7"/>
    <w:rsid w:val="005B3244"/>
    <w:rsid w:val="005B335D"/>
    <w:rsid w:val="005B37AC"/>
    <w:rsid w:val="005B38AE"/>
    <w:rsid w:val="005B3AB8"/>
    <w:rsid w:val="005B3AC3"/>
    <w:rsid w:val="005B5D09"/>
    <w:rsid w:val="005B6439"/>
    <w:rsid w:val="005B756D"/>
    <w:rsid w:val="005C1D65"/>
    <w:rsid w:val="005C346E"/>
    <w:rsid w:val="005C352A"/>
    <w:rsid w:val="005C456E"/>
    <w:rsid w:val="005C47F7"/>
    <w:rsid w:val="005C4FCF"/>
    <w:rsid w:val="005C50AE"/>
    <w:rsid w:val="005C55EF"/>
    <w:rsid w:val="005C5A44"/>
    <w:rsid w:val="005C6641"/>
    <w:rsid w:val="005C6852"/>
    <w:rsid w:val="005C7302"/>
    <w:rsid w:val="005D0E79"/>
    <w:rsid w:val="005D1C94"/>
    <w:rsid w:val="005D295E"/>
    <w:rsid w:val="005D334A"/>
    <w:rsid w:val="005D3A59"/>
    <w:rsid w:val="005D45A5"/>
    <w:rsid w:val="005D4A73"/>
    <w:rsid w:val="005D5CD3"/>
    <w:rsid w:val="005D6102"/>
    <w:rsid w:val="005D6843"/>
    <w:rsid w:val="005E0837"/>
    <w:rsid w:val="005E2B1D"/>
    <w:rsid w:val="005E315F"/>
    <w:rsid w:val="005E3A0F"/>
    <w:rsid w:val="005E4359"/>
    <w:rsid w:val="005E4682"/>
    <w:rsid w:val="005E4AB5"/>
    <w:rsid w:val="005E5D45"/>
    <w:rsid w:val="005E647F"/>
    <w:rsid w:val="005E64D8"/>
    <w:rsid w:val="005E68BB"/>
    <w:rsid w:val="005E691C"/>
    <w:rsid w:val="005E6FA3"/>
    <w:rsid w:val="005E78E3"/>
    <w:rsid w:val="005E78FF"/>
    <w:rsid w:val="005E7A1A"/>
    <w:rsid w:val="005F05A1"/>
    <w:rsid w:val="005F1AB6"/>
    <w:rsid w:val="005F1DC4"/>
    <w:rsid w:val="005F2D77"/>
    <w:rsid w:val="005F322D"/>
    <w:rsid w:val="005F3393"/>
    <w:rsid w:val="005F3C68"/>
    <w:rsid w:val="005F410A"/>
    <w:rsid w:val="005F4449"/>
    <w:rsid w:val="005F4539"/>
    <w:rsid w:val="005F5282"/>
    <w:rsid w:val="005F5A3C"/>
    <w:rsid w:val="005F5E2A"/>
    <w:rsid w:val="005F62E7"/>
    <w:rsid w:val="005F74A2"/>
    <w:rsid w:val="005F7955"/>
    <w:rsid w:val="006005F1"/>
    <w:rsid w:val="00600620"/>
    <w:rsid w:val="0060284F"/>
    <w:rsid w:val="00602EBD"/>
    <w:rsid w:val="00603156"/>
    <w:rsid w:val="006035FA"/>
    <w:rsid w:val="00603DF9"/>
    <w:rsid w:val="006042F2"/>
    <w:rsid w:val="00604C09"/>
    <w:rsid w:val="006054DE"/>
    <w:rsid w:val="00606BEA"/>
    <w:rsid w:val="00607090"/>
    <w:rsid w:val="00607A7B"/>
    <w:rsid w:val="00607B90"/>
    <w:rsid w:val="0061011C"/>
    <w:rsid w:val="0061097A"/>
    <w:rsid w:val="006115AC"/>
    <w:rsid w:val="00611DC8"/>
    <w:rsid w:val="00612059"/>
    <w:rsid w:val="00612A58"/>
    <w:rsid w:val="00612E32"/>
    <w:rsid w:val="006132A8"/>
    <w:rsid w:val="00613578"/>
    <w:rsid w:val="0061369A"/>
    <w:rsid w:val="006151E6"/>
    <w:rsid w:val="00616A45"/>
    <w:rsid w:val="00616BB8"/>
    <w:rsid w:val="00616D4D"/>
    <w:rsid w:val="00616DDF"/>
    <w:rsid w:val="0061762E"/>
    <w:rsid w:val="00617F12"/>
    <w:rsid w:val="00621BCE"/>
    <w:rsid w:val="00621D28"/>
    <w:rsid w:val="00621D86"/>
    <w:rsid w:val="006221EE"/>
    <w:rsid w:val="00624C85"/>
    <w:rsid w:val="00624E3D"/>
    <w:rsid w:val="006252F8"/>
    <w:rsid w:val="00626363"/>
    <w:rsid w:val="00626420"/>
    <w:rsid w:val="0062723B"/>
    <w:rsid w:val="00627358"/>
    <w:rsid w:val="00627868"/>
    <w:rsid w:val="00627906"/>
    <w:rsid w:val="00627C08"/>
    <w:rsid w:val="00630D24"/>
    <w:rsid w:val="00631349"/>
    <w:rsid w:val="00632AE6"/>
    <w:rsid w:val="0063336C"/>
    <w:rsid w:val="00633DEE"/>
    <w:rsid w:val="00634D85"/>
    <w:rsid w:val="006358FE"/>
    <w:rsid w:val="00636004"/>
    <w:rsid w:val="00636362"/>
    <w:rsid w:val="00636664"/>
    <w:rsid w:val="00636B55"/>
    <w:rsid w:val="00636CF5"/>
    <w:rsid w:val="00636E9E"/>
    <w:rsid w:val="00637E1D"/>
    <w:rsid w:val="0064097F"/>
    <w:rsid w:val="00640D50"/>
    <w:rsid w:val="00641280"/>
    <w:rsid w:val="00641598"/>
    <w:rsid w:val="006426E8"/>
    <w:rsid w:val="00642E2E"/>
    <w:rsid w:val="00643583"/>
    <w:rsid w:val="00643D2F"/>
    <w:rsid w:val="00644219"/>
    <w:rsid w:val="006443BD"/>
    <w:rsid w:val="00644EC7"/>
    <w:rsid w:val="00645CC0"/>
    <w:rsid w:val="006474FD"/>
    <w:rsid w:val="00647FC2"/>
    <w:rsid w:val="00650FE7"/>
    <w:rsid w:val="00651257"/>
    <w:rsid w:val="00651765"/>
    <w:rsid w:val="00651AA0"/>
    <w:rsid w:val="006520DE"/>
    <w:rsid w:val="006523B5"/>
    <w:rsid w:val="00652718"/>
    <w:rsid w:val="006535A1"/>
    <w:rsid w:val="00654254"/>
    <w:rsid w:val="006542E6"/>
    <w:rsid w:val="0065440F"/>
    <w:rsid w:val="006559F5"/>
    <w:rsid w:val="00655C95"/>
    <w:rsid w:val="00656419"/>
    <w:rsid w:val="00656B67"/>
    <w:rsid w:val="00657724"/>
    <w:rsid w:val="00657A97"/>
    <w:rsid w:val="00657FB8"/>
    <w:rsid w:val="00661951"/>
    <w:rsid w:val="00661F4D"/>
    <w:rsid w:val="00662350"/>
    <w:rsid w:val="00662CF1"/>
    <w:rsid w:val="00663852"/>
    <w:rsid w:val="0066493B"/>
    <w:rsid w:val="0066562D"/>
    <w:rsid w:val="00665926"/>
    <w:rsid w:val="00666699"/>
    <w:rsid w:val="00667CD2"/>
    <w:rsid w:val="00670841"/>
    <w:rsid w:val="00670CAD"/>
    <w:rsid w:val="006711B9"/>
    <w:rsid w:val="0067235F"/>
    <w:rsid w:val="006726C8"/>
    <w:rsid w:val="0067270A"/>
    <w:rsid w:val="006734C4"/>
    <w:rsid w:val="00673C39"/>
    <w:rsid w:val="00674D4D"/>
    <w:rsid w:val="00674F7A"/>
    <w:rsid w:val="00674FA0"/>
    <w:rsid w:val="0067510C"/>
    <w:rsid w:val="00676C97"/>
    <w:rsid w:val="00676D63"/>
    <w:rsid w:val="00677BE8"/>
    <w:rsid w:val="006803C1"/>
    <w:rsid w:val="00680467"/>
    <w:rsid w:val="0068134C"/>
    <w:rsid w:val="006814DC"/>
    <w:rsid w:val="006819D6"/>
    <w:rsid w:val="00682014"/>
    <w:rsid w:val="00683361"/>
    <w:rsid w:val="00683E73"/>
    <w:rsid w:val="00684484"/>
    <w:rsid w:val="006845A0"/>
    <w:rsid w:val="00684765"/>
    <w:rsid w:val="00684D20"/>
    <w:rsid w:val="00685CD9"/>
    <w:rsid w:val="006868CD"/>
    <w:rsid w:val="006875E0"/>
    <w:rsid w:val="00687787"/>
    <w:rsid w:val="006878B4"/>
    <w:rsid w:val="00687FCE"/>
    <w:rsid w:val="006903F2"/>
    <w:rsid w:val="006907B5"/>
    <w:rsid w:val="0069130C"/>
    <w:rsid w:val="00691425"/>
    <w:rsid w:val="00691471"/>
    <w:rsid w:val="00692028"/>
    <w:rsid w:val="00692540"/>
    <w:rsid w:val="006938E5"/>
    <w:rsid w:val="00693CB2"/>
    <w:rsid w:val="0069401E"/>
    <w:rsid w:val="00694309"/>
    <w:rsid w:val="006947F0"/>
    <w:rsid w:val="0069495E"/>
    <w:rsid w:val="006951B5"/>
    <w:rsid w:val="00695F5F"/>
    <w:rsid w:val="0069605A"/>
    <w:rsid w:val="006966E7"/>
    <w:rsid w:val="00696FDD"/>
    <w:rsid w:val="006A145D"/>
    <w:rsid w:val="006A2A12"/>
    <w:rsid w:val="006A2AB7"/>
    <w:rsid w:val="006A4377"/>
    <w:rsid w:val="006A45A4"/>
    <w:rsid w:val="006A4F71"/>
    <w:rsid w:val="006A5540"/>
    <w:rsid w:val="006A55A1"/>
    <w:rsid w:val="006A75E3"/>
    <w:rsid w:val="006A778A"/>
    <w:rsid w:val="006A7926"/>
    <w:rsid w:val="006B03E3"/>
    <w:rsid w:val="006B10B7"/>
    <w:rsid w:val="006B1490"/>
    <w:rsid w:val="006B3B77"/>
    <w:rsid w:val="006B3C22"/>
    <w:rsid w:val="006B3DF8"/>
    <w:rsid w:val="006B5538"/>
    <w:rsid w:val="006B5BBF"/>
    <w:rsid w:val="006B66C7"/>
    <w:rsid w:val="006B66F2"/>
    <w:rsid w:val="006B68A1"/>
    <w:rsid w:val="006C2AF5"/>
    <w:rsid w:val="006C4A70"/>
    <w:rsid w:val="006C4FA0"/>
    <w:rsid w:val="006C559B"/>
    <w:rsid w:val="006C5611"/>
    <w:rsid w:val="006C6B99"/>
    <w:rsid w:val="006C6DE4"/>
    <w:rsid w:val="006C73A9"/>
    <w:rsid w:val="006C758E"/>
    <w:rsid w:val="006C761D"/>
    <w:rsid w:val="006C7825"/>
    <w:rsid w:val="006D05BE"/>
    <w:rsid w:val="006D16EF"/>
    <w:rsid w:val="006D1C29"/>
    <w:rsid w:val="006D200D"/>
    <w:rsid w:val="006D2548"/>
    <w:rsid w:val="006D27E1"/>
    <w:rsid w:val="006D3930"/>
    <w:rsid w:val="006D405B"/>
    <w:rsid w:val="006D4918"/>
    <w:rsid w:val="006D4F1B"/>
    <w:rsid w:val="006D55B6"/>
    <w:rsid w:val="006D6CB3"/>
    <w:rsid w:val="006E1717"/>
    <w:rsid w:val="006E1C47"/>
    <w:rsid w:val="006E211E"/>
    <w:rsid w:val="006E3DEB"/>
    <w:rsid w:val="006E438F"/>
    <w:rsid w:val="006E4CC3"/>
    <w:rsid w:val="006E4CC4"/>
    <w:rsid w:val="006E4F82"/>
    <w:rsid w:val="006E5757"/>
    <w:rsid w:val="006E5DF1"/>
    <w:rsid w:val="006E79F3"/>
    <w:rsid w:val="006E7FD2"/>
    <w:rsid w:val="006F0327"/>
    <w:rsid w:val="006F0589"/>
    <w:rsid w:val="006F078F"/>
    <w:rsid w:val="006F13DA"/>
    <w:rsid w:val="006F15D0"/>
    <w:rsid w:val="006F18DE"/>
    <w:rsid w:val="006F1DEF"/>
    <w:rsid w:val="006F21A5"/>
    <w:rsid w:val="006F2886"/>
    <w:rsid w:val="006F3344"/>
    <w:rsid w:val="006F5CA0"/>
    <w:rsid w:val="006F6D72"/>
    <w:rsid w:val="006F6FCA"/>
    <w:rsid w:val="006F70FD"/>
    <w:rsid w:val="006F7728"/>
    <w:rsid w:val="006F7E3B"/>
    <w:rsid w:val="007000C0"/>
    <w:rsid w:val="00700D21"/>
    <w:rsid w:val="00701297"/>
    <w:rsid w:val="00701C37"/>
    <w:rsid w:val="00702434"/>
    <w:rsid w:val="00702BD1"/>
    <w:rsid w:val="00702FC9"/>
    <w:rsid w:val="00703891"/>
    <w:rsid w:val="007048E1"/>
    <w:rsid w:val="00704D0D"/>
    <w:rsid w:val="00705720"/>
    <w:rsid w:val="0070671F"/>
    <w:rsid w:val="007075D8"/>
    <w:rsid w:val="0071139D"/>
    <w:rsid w:val="00711A8F"/>
    <w:rsid w:val="00711AE8"/>
    <w:rsid w:val="007127D1"/>
    <w:rsid w:val="00712E5C"/>
    <w:rsid w:val="007136B2"/>
    <w:rsid w:val="00714B85"/>
    <w:rsid w:val="007150CE"/>
    <w:rsid w:val="00715FAD"/>
    <w:rsid w:val="007162B9"/>
    <w:rsid w:val="007164B7"/>
    <w:rsid w:val="00716545"/>
    <w:rsid w:val="00717101"/>
    <w:rsid w:val="00717665"/>
    <w:rsid w:val="007176EE"/>
    <w:rsid w:val="0071773F"/>
    <w:rsid w:val="007178A8"/>
    <w:rsid w:val="00720416"/>
    <w:rsid w:val="0072080E"/>
    <w:rsid w:val="007208AB"/>
    <w:rsid w:val="0072182E"/>
    <w:rsid w:val="00721AE8"/>
    <w:rsid w:val="007225C3"/>
    <w:rsid w:val="00722E44"/>
    <w:rsid w:val="00723323"/>
    <w:rsid w:val="00724362"/>
    <w:rsid w:val="00724EE3"/>
    <w:rsid w:val="00725B23"/>
    <w:rsid w:val="00725DA3"/>
    <w:rsid w:val="00725E9C"/>
    <w:rsid w:val="0072649C"/>
    <w:rsid w:val="0072650C"/>
    <w:rsid w:val="0072762C"/>
    <w:rsid w:val="0072777C"/>
    <w:rsid w:val="0072794C"/>
    <w:rsid w:val="00727959"/>
    <w:rsid w:val="00727BCF"/>
    <w:rsid w:val="00727F7F"/>
    <w:rsid w:val="007319EA"/>
    <w:rsid w:val="00731F70"/>
    <w:rsid w:val="00731FE3"/>
    <w:rsid w:val="0073339C"/>
    <w:rsid w:val="00733CEA"/>
    <w:rsid w:val="00734209"/>
    <w:rsid w:val="007342C7"/>
    <w:rsid w:val="00735D67"/>
    <w:rsid w:val="00736F49"/>
    <w:rsid w:val="00737134"/>
    <w:rsid w:val="00737242"/>
    <w:rsid w:val="007373D0"/>
    <w:rsid w:val="007374BC"/>
    <w:rsid w:val="00737A75"/>
    <w:rsid w:val="00737E68"/>
    <w:rsid w:val="00741271"/>
    <w:rsid w:val="0074185F"/>
    <w:rsid w:val="0074216C"/>
    <w:rsid w:val="007423FE"/>
    <w:rsid w:val="00742DD2"/>
    <w:rsid w:val="0074332F"/>
    <w:rsid w:val="00743594"/>
    <w:rsid w:val="00744592"/>
    <w:rsid w:val="00744CC9"/>
    <w:rsid w:val="00744E53"/>
    <w:rsid w:val="00744E90"/>
    <w:rsid w:val="00744EB3"/>
    <w:rsid w:val="007466E2"/>
    <w:rsid w:val="007469B6"/>
    <w:rsid w:val="00747776"/>
    <w:rsid w:val="007509C2"/>
    <w:rsid w:val="0075220D"/>
    <w:rsid w:val="007522A6"/>
    <w:rsid w:val="00753D77"/>
    <w:rsid w:val="007550D5"/>
    <w:rsid w:val="00755966"/>
    <w:rsid w:val="007559C5"/>
    <w:rsid w:val="00755C96"/>
    <w:rsid w:val="007564E1"/>
    <w:rsid w:val="007569FB"/>
    <w:rsid w:val="00756D83"/>
    <w:rsid w:val="00757FE9"/>
    <w:rsid w:val="00760CD4"/>
    <w:rsid w:val="007611A9"/>
    <w:rsid w:val="0076143A"/>
    <w:rsid w:val="00762BB8"/>
    <w:rsid w:val="00762FE9"/>
    <w:rsid w:val="00764A54"/>
    <w:rsid w:val="00764D34"/>
    <w:rsid w:val="00764F02"/>
    <w:rsid w:val="00767A50"/>
    <w:rsid w:val="00767CDC"/>
    <w:rsid w:val="007704D8"/>
    <w:rsid w:val="007708D3"/>
    <w:rsid w:val="00770EB8"/>
    <w:rsid w:val="00771315"/>
    <w:rsid w:val="007715A4"/>
    <w:rsid w:val="0077184B"/>
    <w:rsid w:val="00771A8C"/>
    <w:rsid w:val="0077251F"/>
    <w:rsid w:val="0077344C"/>
    <w:rsid w:val="00773548"/>
    <w:rsid w:val="00773551"/>
    <w:rsid w:val="00773C93"/>
    <w:rsid w:val="00773E51"/>
    <w:rsid w:val="0077436F"/>
    <w:rsid w:val="007750B3"/>
    <w:rsid w:val="0077537E"/>
    <w:rsid w:val="007759DB"/>
    <w:rsid w:val="00775A57"/>
    <w:rsid w:val="00775C54"/>
    <w:rsid w:val="0077681C"/>
    <w:rsid w:val="00776ED8"/>
    <w:rsid w:val="00777034"/>
    <w:rsid w:val="00777D62"/>
    <w:rsid w:val="007806A3"/>
    <w:rsid w:val="00780D6F"/>
    <w:rsid w:val="007819A2"/>
    <w:rsid w:val="00781B8D"/>
    <w:rsid w:val="00781E7B"/>
    <w:rsid w:val="00781FDF"/>
    <w:rsid w:val="007821B5"/>
    <w:rsid w:val="00782320"/>
    <w:rsid w:val="00782915"/>
    <w:rsid w:val="00783A4B"/>
    <w:rsid w:val="00783E8C"/>
    <w:rsid w:val="00783FD0"/>
    <w:rsid w:val="00784138"/>
    <w:rsid w:val="007866CD"/>
    <w:rsid w:val="00787BC9"/>
    <w:rsid w:val="00787BD5"/>
    <w:rsid w:val="00790C60"/>
    <w:rsid w:val="00792B49"/>
    <w:rsid w:val="007936F9"/>
    <w:rsid w:val="00794163"/>
    <w:rsid w:val="007951A0"/>
    <w:rsid w:val="0079536B"/>
    <w:rsid w:val="00796433"/>
    <w:rsid w:val="007966AB"/>
    <w:rsid w:val="00796764"/>
    <w:rsid w:val="00796C15"/>
    <w:rsid w:val="00796DEC"/>
    <w:rsid w:val="007975C2"/>
    <w:rsid w:val="00797FC7"/>
    <w:rsid w:val="007A0005"/>
    <w:rsid w:val="007A0B15"/>
    <w:rsid w:val="007A1637"/>
    <w:rsid w:val="007A1A14"/>
    <w:rsid w:val="007A1F00"/>
    <w:rsid w:val="007A2161"/>
    <w:rsid w:val="007A252F"/>
    <w:rsid w:val="007A2851"/>
    <w:rsid w:val="007A2EC8"/>
    <w:rsid w:val="007A41FF"/>
    <w:rsid w:val="007A5260"/>
    <w:rsid w:val="007A53A3"/>
    <w:rsid w:val="007A5AF9"/>
    <w:rsid w:val="007A5E61"/>
    <w:rsid w:val="007A6AC3"/>
    <w:rsid w:val="007A7019"/>
    <w:rsid w:val="007A73C4"/>
    <w:rsid w:val="007A765A"/>
    <w:rsid w:val="007A791C"/>
    <w:rsid w:val="007A79D6"/>
    <w:rsid w:val="007A7EB9"/>
    <w:rsid w:val="007B1549"/>
    <w:rsid w:val="007B1C11"/>
    <w:rsid w:val="007B24C2"/>
    <w:rsid w:val="007B2F65"/>
    <w:rsid w:val="007B2FCD"/>
    <w:rsid w:val="007B5810"/>
    <w:rsid w:val="007B5977"/>
    <w:rsid w:val="007B68FD"/>
    <w:rsid w:val="007B6BA6"/>
    <w:rsid w:val="007B6F00"/>
    <w:rsid w:val="007B7929"/>
    <w:rsid w:val="007C0801"/>
    <w:rsid w:val="007C1CB6"/>
    <w:rsid w:val="007C21BC"/>
    <w:rsid w:val="007C2611"/>
    <w:rsid w:val="007C2660"/>
    <w:rsid w:val="007C27D1"/>
    <w:rsid w:val="007C2CA3"/>
    <w:rsid w:val="007C377C"/>
    <w:rsid w:val="007C3FDF"/>
    <w:rsid w:val="007C521A"/>
    <w:rsid w:val="007C52D7"/>
    <w:rsid w:val="007C607D"/>
    <w:rsid w:val="007D0437"/>
    <w:rsid w:val="007D12C1"/>
    <w:rsid w:val="007D13C2"/>
    <w:rsid w:val="007D1546"/>
    <w:rsid w:val="007D17E3"/>
    <w:rsid w:val="007D1AEA"/>
    <w:rsid w:val="007D200D"/>
    <w:rsid w:val="007D4F07"/>
    <w:rsid w:val="007D632A"/>
    <w:rsid w:val="007D6B45"/>
    <w:rsid w:val="007D7239"/>
    <w:rsid w:val="007D7B7C"/>
    <w:rsid w:val="007E1330"/>
    <w:rsid w:val="007E145E"/>
    <w:rsid w:val="007E1C32"/>
    <w:rsid w:val="007E2772"/>
    <w:rsid w:val="007E2F85"/>
    <w:rsid w:val="007E3B8E"/>
    <w:rsid w:val="007E3F9D"/>
    <w:rsid w:val="007E4A3E"/>
    <w:rsid w:val="007E4AC7"/>
    <w:rsid w:val="007E5473"/>
    <w:rsid w:val="007E567C"/>
    <w:rsid w:val="007E5D2E"/>
    <w:rsid w:val="007E5F4C"/>
    <w:rsid w:val="007E6015"/>
    <w:rsid w:val="007E6840"/>
    <w:rsid w:val="007E7C66"/>
    <w:rsid w:val="007F0D41"/>
    <w:rsid w:val="007F3828"/>
    <w:rsid w:val="007F4045"/>
    <w:rsid w:val="007F423F"/>
    <w:rsid w:val="007F4A82"/>
    <w:rsid w:val="007F4B5B"/>
    <w:rsid w:val="007F59CE"/>
    <w:rsid w:val="007F60E5"/>
    <w:rsid w:val="007F68AC"/>
    <w:rsid w:val="007F6D8B"/>
    <w:rsid w:val="007F6E18"/>
    <w:rsid w:val="007F6FB8"/>
    <w:rsid w:val="007F7A4A"/>
    <w:rsid w:val="00800796"/>
    <w:rsid w:val="008008E6"/>
    <w:rsid w:val="00801909"/>
    <w:rsid w:val="008020EF"/>
    <w:rsid w:val="0080235B"/>
    <w:rsid w:val="00802424"/>
    <w:rsid w:val="0080383C"/>
    <w:rsid w:val="00803AA8"/>
    <w:rsid w:val="00804677"/>
    <w:rsid w:val="008048BA"/>
    <w:rsid w:val="008061AC"/>
    <w:rsid w:val="00806F59"/>
    <w:rsid w:val="00807451"/>
    <w:rsid w:val="00811229"/>
    <w:rsid w:val="00811F21"/>
    <w:rsid w:val="00812A3D"/>
    <w:rsid w:val="00812C34"/>
    <w:rsid w:val="00814655"/>
    <w:rsid w:val="00814D10"/>
    <w:rsid w:val="0081580C"/>
    <w:rsid w:val="00815B79"/>
    <w:rsid w:val="00815E46"/>
    <w:rsid w:val="00817103"/>
    <w:rsid w:val="0081746C"/>
    <w:rsid w:val="00817F4C"/>
    <w:rsid w:val="00821173"/>
    <w:rsid w:val="00821BA4"/>
    <w:rsid w:val="008237DF"/>
    <w:rsid w:val="00823D5A"/>
    <w:rsid w:val="0082427C"/>
    <w:rsid w:val="00824D9B"/>
    <w:rsid w:val="00824F12"/>
    <w:rsid w:val="008258BA"/>
    <w:rsid w:val="0082617B"/>
    <w:rsid w:val="00826333"/>
    <w:rsid w:val="008278B8"/>
    <w:rsid w:val="00830061"/>
    <w:rsid w:val="008306AD"/>
    <w:rsid w:val="0083092C"/>
    <w:rsid w:val="00830958"/>
    <w:rsid w:val="00830DC9"/>
    <w:rsid w:val="00831145"/>
    <w:rsid w:val="008314CD"/>
    <w:rsid w:val="00831EA7"/>
    <w:rsid w:val="00832A15"/>
    <w:rsid w:val="00832A87"/>
    <w:rsid w:val="00832BB1"/>
    <w:rsid w:val="00833328"/>
    <w:rsid w:val="008334F0"/>
    <w:rsid w:val="008334FA"/>
    <w:rsid w:val="0083356A"/>
    <w:rsid w:val="00833821"/>
    <w:rsid w:val="00833B35"/>
    <w:rsid w:val="00833FC3"/>
    <w:rsid w:val="0083400C"/>
    <w:rsid w:val="008370B2"/>
    <w:rsid w:val="008372D0"/>
    <w:rsid w:val="008414FC"/>
    <w:rsid w:val="00841755"/>
    <w:rsid w:val="00841DD6"/>
    <w:rsid w:val="00843BAD"/>
    <w:rsid w:val="00843E53"/>
    <w:rsid w:val="00843EBD"/>
    <w:rsid w:val="00843F12"/>
    <w:rsid w:val="00845692"/>
    <w:rsid w:val="008459EA"/>
    <w:rsid w:val="00845F55"/>
    <w:rsid w:val="0084636B"/>
    <w:rsid w:val="00846829"/>
    <w:rsid w:val="00851F9F"/>
    <w:rsid w:val="00851FB0"/>
    <w:rsid w:val="00852CDB"/>
    <w:rsid w:val="008541E7"/>
    <w:rsid w:val="00854901"/>
    <w:rsid w:val="00854B16"/>
    <w:rsid w:val="00854C1F"/>
    <w:rsid w:val="00854DBF"/>
    <w:rsid w:val="008553FA"/>
    <w:rsid w:val="008554F4"/>
    <w:rsid w:val="0085697D"/>
    <w:rsid w:val="00856C9F"/>
    <w:rsid w:val="00857ADC"/>
    <w:rsid w:val="00857D02"/>
    <w:rsid w:val="00860A5F"/>
    <w:rsid w:val="00860D32"/>
    <w:rsid w:val="00861805"/>
    <w:rsid w:val="00861A35"/>
    <w:rsid w:val="00861B9B"/>
    <w:rsid w:val="00862D15"/>
    <w:rsid w:val="008635AC"/>
    <w:rsid w:val="008637D9"/>
    <w:rsid w:val="00863A68"/>
    <w:rsid w:val="00863CB7"/>
    <w:rsid w:val="0086411C"/>
    <w:rsid w:val="008644DF"/>
    <w:rsid w:val="008647ED"/>
    <w:rsid w:val="00864CF3"/>
    <w:rsid w:val="00865417"/>
    <w:rsid w:val="008677C2"/>
    <w:rsid w:val="00867889"/>
    <w:rsid w:val="00867B34"/>
    <w:rsid w:val="00867C69"/>
    <w:rsid w:val="0087319E"/>
    <w:rsid w:val="00873516"/>
    <w:rsid w:val="00873D5A"/>
    <w:rsid w:val="00875092"/>
    <w:rsid w:val="0087622F"/>
    <w:rsid w:val="0087630D"/>
    <w:rsid w:val="00876EEE"/>
    <w:rsid w:val="00880B80"/>
    <w:rsid w:val="00880D08"/>
    <w:rsid w:val="00880D73"/>
    <w:rsid w:val="008811F4"/>
    <w:rsid w:val="008817E5"/>
    <w:rsid w:val="0088194D"/>
    <w:rsid w:val="00881FF2"/>
    <w:rsid w:val="00882863"/>
    <w:rsid w:val="00883329"/>
    <w:rsid w:val="00884362"/>
    <w:rsid w:val="00884CC1"/>
    <w:rsid w:val="008866E3"/>
    <w:rsid w:val="00886BE7"/>
    <w:rsid w:val="00886F21"/>
    <w:rsid w:val="00887EA4"/>
    <w:rsid w:val="008928C0"/>
    <w:rsid w:val="00893438"/>
    <w:rsid w:val="00894108"/>
    <w:rsid w:val="008946FE"/>
    <w:rsid w:val="008952C7"/>
    <w:rsid w:val="00895680"/>
    <w:rsid w:val="008959EF"/>
    <w:rsid w:val="00895C6F"/>
    <w:rsid w:val="008969F4"/>
    <w:rsid w:val="00896C56"/>
    <w:rsid w:val="00897404"/>
    <w:rsid w:val="00897677"/>
    <w:rsid w:val="00897A9C"/>
    <w:rsid w:val="008A0CB8"/>
    <w:rsid w:val="008A0E04"/>
    <w:rsid w:val="008A1FE1"/>
    <w:rsid w:val="008A295F"/>
    <w:rsid w:val="008A2B66"/>
    <w:rsid w:val="008A303F"/>
    <w:rsid w:val="008A3AFD"/>
    <w:rsid w:val="008A40CA"/>
    <w:rsid w:val="008A46F4"/>
    <w:rsid w:val="008A4AD8"/>
    <w:rsid w:val="008A4B91"/>
    <w:rsid w:val="008A5636"/>
    <w:rsid w:val="008A5F62"/>
    <w:rsid w:val="008A61C1"/>
    <w:rsid w:val="008A6E09"/>
    <w:rsid w:val="008A749E"/>
    <w:rsid w:val="008A74DE"/>
    <w:rsid w:val="008A773A"/>
    <w:rsid w:val="008A79FA"/>
    <w:rsid w:val="008B04C4"/>
    <w:rsid w:val="008B054A"/>
    <w:rsid w:val="008B05FD"/>
    <w:rsid w:val="008B1116"/>
    <w:rsid w:val="008B1294"/>
    <w:rsid w:val="008B1940"/>
    <w:rsid w:val="008B1B5F"/>
    <w:rsid w:val="008B24B5"/>
    <w:rsid w:val="008B2C97"/>
    <w:rsid w:val="008B2E45"/>
    <w:rsid w:val="008B3CA3"/>
    <w:rsid w:val="008B4EA1"/>
    <w:rsid w:val="008B4F62"/>
    <w:rsid w:val="008B5092"/>
    <w:rsid w:val="008B511F"/>
    <w:rsid w:val="008B52F3"/>
    <w:rsid w:val="008B5B6D"/>
    <w:rsid w:val="008B6B2C"/>
    <w:rsid w:val="008B7380"/>
    <w:rsid w:val="008B74FC"/>
    <w:rsid w:val="008B7523"/>
    <w:rsid w:val="008C09E9"/>
    <w:rsid w:val="008C0E72"/>
    <w:rsid w:val="008C182D"/>
    <w:rsid w:val="008C1A35"/>
    <w:rsid w:val="008C280A"/>
    <w:rsid w:val="008C2A79"/>
    <w:rsid w:val="008C3696"/>
    <w:rsid w:val="008C3842"/>
    <w:rsid w:val="008C3D09"/>
    <w:rsid w:val="008C40D1"/>
    <w:rsid w:val="008C4B6F"/>
    <w:rsid w:val="008C5FF0"/>
    <w:rsid w:val="008C7D10"/>
    <w:rsid w:val="008C7D1E"/>
    <w:rsid w:val="008C7DD6"/>
    <w:rsid w:val="008D01D3"/>
    <w:rsid w:val="008D0B3B"/>
    <w:rsid w:val="008D0E6D"/>
    <w:rsid w:val="008D128F"/>
    <w:rsid w:val="008D195B"/>
    <w:rsid w:val="008D1A36"/>
    <w:rsid w:val="008D1A72"/>
    <w:rsid w:val="008D1CF3"/>
    <w:rsid w:val="008D2F52"/>
    <w:rsid w:val="008D3914"/>
    <w:rsid w:val="008D6432"/>
    <w:rsid w:val="008D7AAC"/>
    <w:rsid w:val="008E04A9"/>
    <w:rsid w:val="008E0C87"/>
    <w:rsid w:val="008E2C06"/>
    <w:rsid w:val="008E2C22"/>
    <w:rsid w:val="008E2E7F"/>
    <w:rsid w:val="008E406C"/>
    <w:rsid w:val="008E439E"/>
    <w:rsid w:val="008E480D"/>
    <w:rsid w:val="008E54D7"/>
    <w:rsid w:val="008E7161"/>
    <w:rsid w:val="008E72D9"/>
    <w:rsid w:val="008E7501"/>
    <w:rsid w:val="008F05BC"/>
    <w:rsid w:val="008F0A99"/>
    <w:rsid w:val="008F2C08"/>
    <w:rsid w:val="008F2ED4"/>
    <w:rsid w:val="008F304D"/>
    <w:rsid w:val="008F3940"/>
    <w:rsid w:val="008F3DFB"/>
    <w:rsid w:val="008F52A6"/>
    <w:rsid w:val="008F5E06"/>
    <w:rsid w:val="008F66C9"/>
    <w:rsid w:val="008F6F2C"/>
    <w:rsid w:val="009013FD"/>
    <w:rsid w:val="0090268E"/>
    <w:rsid w:val="009028AE"/>
    <w:rsid w:val="00902963"/>
    <w:rsid w:val="00902ECC"/>
    <w:rsid w:val="0090426E"/>
    <w:rsid w:val="00904353"/>
    <w:rsid w:val="00904BA6"/>
    <w:rsid w:val="00904C56"/>
    <w:rsid w:val="00904ED6"/>
    <w:rsid w:val="00905A90"/>
    <w:rsid w:val="00905AB9"/>
    <w:rsid w:val="00905BBE"/>
    <w:rsid w:val="00906210"/>
    <w:rsid w:val="009069DC"/>
    <w:rsid w:val="00906A9A"/>
    <w:rsid w:val="00906ECE"/>
    <w:rsid w:val="00907487"/>
    <w:rsid w:val="009077E2"/>
    <w:rsid w:val="00911191"/>
    <w:rsid w:val="0091202E"/>
    <w:rsid w:val="00912646"/>
    <w:rsid w:val="009129C0"/>
    <w:rsid w:val="00912B25"/>
    <w:rsid w:val="00912E83"/>
    <w:rsid w:val="00912EFD"/>
    <w:rsid w:val="00912FAB"/>
    <w:rsid w:val="009136DD"/>
    <w:rsid w:val="009137AC"/>
    <w:rsid w:val="00913C5F"/>
    <w:rsid w:val="009149B7"/>
    <w:rsid w:val="00915087"/>
    <w:rsid w:val="00915364"/>
    <w:rsid w:val="0091557D"/>
    <w:rsid w:val="00915B82"/>
    <w:rsid w:val="009160A7"/>
    <w:rsid w:val="0091636E"/>
    <w:rsid w:val="00917214"/>
    <w:rsid w:val="00917C56"/>
    <w:rsid w:val="009219FC"/>
    <w:rsid w:val="00921BD1"/>
    <w:rsid w:val="0092205C"/>
    <w:rsid w:val="009224E3"/>
    <w:rsid w:val="0092260A"/>
    <w:rsid w:val="00922794"/>
    <w:rsid w:val="009233DE"/>
    <w:rsid w:val="00923437"/>
    <w:rsid w:val="0092497C"/>
    <w:rsid w:val="00925A07"/>
    <w:rsid w:val="0092603E"/>
    <w:rsid w:val="0092633F"/>
    <w:rsid w:val="009266EE"/>
    <w:rsid w:val="009267EE"/>
    <w:rsid w:val="00926A4E"/>
    <w:rsid w:val="00926D60"/>
    <w:rsid w:val="00930B68"/>
    <w:rsid w:val="009315C3"/>
    <w:rsid w:val="00931E4A"/>
    <w:rsid w:val="009329E9"/>
    <w:rsid w:val="00932D3C"/>
    <w:rsid w:val="009334CE"/>
    <w:rsid w:val="00933901"/>
    <w:rsid w:val="00933D70"/>
    <w:rsid w:val="00933DFA"/>
    <w:rsid w:val="0093468E"/>
    <w:rsid w:val="00934EE1"/>
    <w:rsid w:val="00934FCA"/>
    <w:rsid w:val="00936F4B"/>
    <w:rsid w:val="009376DE"/>
    <w:rsid w:val="00937C3A"/>
    <w:rsid w:val="0094056A"/>
    <w:rsid w:val="00940696"/>
    <w:rsid w:val="00942067"/>
    <w:rsid w:val="009432A0"/>
    <w:rsid w:val="009436E8"/>
    <w:rsid w:val="009440FC"/>
    <w:rsid w:val="00944CAD"/>
    <w:rsid w:val="00945906"/>
    <w:rsid w:val="00945A18"/>
    <w:rsid w:val="00945D0A"/>
    <w:rsid w:val="0094662E"/>
    <w:rsid w:val="009477F0"/>
    <w:rsid w:val="0095030A"/>
    <w:rsid w:val="00950B89"/>
    <w:rsid w:val="00950D1A"/>
    <w:rsid w:val="00952EE9"/>
    <w:rsid w:val="00953898"/>
    <w:rsid w:val="00953B7C"/>
    <w:rsid w:val="00953FB1"/>
    <w:rsid w:val="0095473E"/>
    <w:rsid w:val="00954848"/>
    <w:rsid w:val="009559DE"/>
    <w:rsid w:val="0095650A"/>
    <w:rsid w:val="0095652A"/>
    <w:rsid w:val="00957717"/>
    <w:rsid w:val="00957FF4"/>
    <w:rsid w:val="00961483"/>
    <w:rsid w:val="009614AE"/>
    <w:rsid w:val="009618C9"/>
    <w:rsid w:val="00962D6A"/>
    <w:rsid w:val="0096356B"/>
    <w:rsid w:val="00964C3B"/>
    <w:rsid w:val="00964E67"/>
    <w:rsid w:val="00964F7B"/>
    <w:rsid w:val="009660A3"/>
    <w:rsid w:val="00967815"/>
    <w:rsid w:val="00967A47"/>
    <w:rsid w:val="00971763"/>
    <w:rsid w:val="0097285F"/>
    <w:rsid w:val="009732EA"/>
    <w:rsid w:val="00973308"/>
    <w:rsid w:val="00973607"/>
    <w:rsid w:val="00973C21"/>
    <w:rsid w:val="00973F55"/>
    <w:rsid w:val="00974188"/>
    <w:rsid w:val="00974FCB"/>
    <w:rsid w:val="0097586B"/>
    <w:rsid w:val="00975A20"/>
    <w:rsid w:val="00975BCF"/>
    <w:rsid w:val="009764B6"/>
    <w:rsid w:val="009766BC"/>
    <w:rsid w:val="00977E5B"/>
    <w:rsid w:val="00980090"/>
    <w:rsid w:val="00980168"/>
    <w:rsid w:val="00982784"/>
    <w:rsid w:val="00983958"/>
    <w:rsid w:val="009840D0"/>
    <w:rsid w:val="00985670"/>
    <w:rsid w:val="009869D9"/>
    <w:rsid w:val="00986C22"/>
    <w:rsid w:val="009876C0"/>
    <w:rsid w:val="00987840"/>
    <w:rsid w:val="009900DC"/>
    <w:rsid w:val="0099093E"/>
    <w:rsid w:val="00991CB2"/>
    <w:rsid w:val="00991CFF"/>
    <w:rsid w:val="009924D5"/>
    <w:rsid w:val="009926E7"/>
    <w:rsid w:val="009929FD"/>
    <w:rsid w:val="00993BF5"/>
    <w:rsid w:val="0099534D"/>
    <w:rsid w:val="00995899"/>
    <w:rsid w:val="00995A85"/>
    <w:rsid w:val="00995AB8"/>
    <w:rsid w:val="00997785"/>
    <w:rsid w:val="00997FC2"/>
    <w:rsid w:val="009A04C9"/>
    <w:rsid w:val="009A0A87"/>
    <w:rsid w:val="009A0E6D"/>
    <w:rsid w:val="009A1E36"/>
    <w:rsid w:val="009A2393"/>
    <w:rsid w:val="009A2453"/>
    <w:rsid w:val="009A3182"/>
    <w:rsid w:val="009A32F1"/>
    <w:rsid w:val="009A41F4"/>
    <w:rsid w:val="009A4FF9"/>
    <w:rsid w:val="009A5DAD"/>
    <w:rsid w:val="009A633E"/>
    <w:rsid w:val="009B0685"/>
    <w:rsid w:val="009B0AAF"/>
    <w:rsid w:val="009B0CE9"/>
    <w:rsid w:val="009B12AF"/>
    <w:rsid w:val="009B1F55"/>
    <w:rsid w:val="009B2125"/>
    <w:rsid w:val="009B309B"/>
    <w:rsid w:val="009B320E"/>
    <w:rsid w:val="009B3396"/>
    <w:rsid w:val="009B368D"/>
    <w:rsid w:val="009B3B4D"/>
    <w:rsid w:val="009B40FB"/>
    <w:rsid w:val="009B442F"/>
    <w:rsid w:val="009B5559"/>
    <w:rsid w:val="009B5ACF"/>
    <w:rsid w:val="009B6D3F"/>
    <w:rsid w:val="009B7580"/>
    <w:rsid w:val="009B7CE6"/>
    <w:rsid w:val="009C0056"/>
    <w:rsid w:val="009C0B82"/>
    <w:rsid w:val="009C160C"/>
    <w:rsid w:val="009C1937"/>
    <w:rsid w:val="009C308B"/>
    <w:rsid w:val="009C32C6"/>
    <w:rsid w:val="009C42CF"/>
    <w:rsid w:val="009C4D9F"/>
    <w:rsid w:val="009C4E33"/>
    <w:rsid w:val="009C56E4"/>
    <w:rsid w:val="009C5856"/>
    <w:rsid w:val="009C6823"/>
    <w:rsid w:val="009D0E32"/>
    <w:rsid w:val="009D0F82"/>
    <w:rsid w:val="009D1265"/>
    <w:rsid w:val="009D3322"/>
    <w:rsid w:val="009D334C"/>
    <w:rsid w:val="009D42AC"/>
    <w:rsid w:val="009D4D1D"/>
    <w:rsid w:val="009D4E8D"/>
    <w:rsid w:val="009D4F6C"/>
    <w:rsid w:val="009D529F"/>
    <w:rsid w:val="009D6333"/>
    <w:rsid w:val="009D65E7"/>
    <w:rsid w:val="009D6E00"/>
    <w:rsid w:val="009D6F81"/>
    <w:rsid w:val="009E02B9"/>
    <w:rsid w:val="009E0817"/>
    <w:rsid w:val="009E0CCC"/>
    <w:rsid w:val="009E0CCF"/>
    <w:rsid w:val="009E1295"/>
    <w:rsid w:val="009E1908"/>
    <w:rsid w:val="009E1CC1"/>
    <w:rsid w:val="009E2AA6"/>
    <w:rsid w:val="009E3651"/>
    <w:rsid w:val="009E48EE"/>
    <w:rsid w:val="009E4C0D"/>
    <w:rsid w:val="009E4C6A"/>
    <w:rsid w:val="009E5704"/>
    <w:rsid w:val="009E5714"/>
    <w:rsid w:val="009E5724"/>
    <w:rsid w:val="009E5CB8"/>
    <w:rsid w:val="009E5D7B"/>
    <w:rsid w:val="009E613E"/>
    <w:rsid w:val="009E66F6"/>
    <w:rsid w:val="009E7748"/>
    <w:rsid w:val="009E78F8"/>
    <w:rsid w:val="009E7D5E"/>
    <w:rsid w:val="009F0674"/>
    <w:rsid w:val="009F0AD3"/>
    <w:rsid w:val="009F0FA9"/>
    <w:rsid w:val="009F18BA"/>
    <w:rsid w:val="009F1ABA"/>
    <w:rsid w:val="009F1CBB"/>
    <w:rsid w:val="009F21D2"/>
    <w:rsid w:val="009F22BA"/>
    <w:rsid w:val="009F2472"/>
    <w:rsid w:val="009F2498"/>
    <w:rsid w:val="009F2DD1"/>
    <w:rsid w:val="009F38D3"/>
    <w:rsid w:val="009F3A73"/>
    <w:rsid w:val="009F4082"/>
    <w:rsid w:val="009F4CE1"/>
    <w:rsid w:val="009F530B"/>
    <w:rsid w:val="009F5E92"/>
    <w:rsid w:val="009F5EB5"/>
    <w:rsid w:val="009F7D1E"/>
    <w:rsid w:val="00A00B55"/>
    <w:rsid w:val="00A01045"/>
    <w:rsid w:val="00A015B5"/>
    <w:rsid w:val="00A024F5"/>
    <w:rsid w:val="00A02862"/>
    <w:rsid w:val="00A02BDE"/>
    <w:rsid w:val="00A02F3D"/>
    <w:rsid w:val="00A03DC8"/>
    <w:rsid w:val="00A05BD0"/>
    <w:rsid w:val="00A063EF"/>
    <w:rsid w:val="00A06442"/>
    <w:rsid w:val="00A06784"/>
    <w:rsid w:val="00A0723E"/>
    <w:rsid w:val="00A079C2"/>
    <w:rsid w:val="00A1076C"/>
    <w:rsid w:val="00A108EA"/>
    <w:rsid w:val="00A10D60"/>
    <w:rsid w:val="00A1156D"/>
    <w:rsid w:val="00A11B82"/>
    <w:rsid w:val="00A11BB5"/>
    <w:rsid w:val="00A11D5F"/>
    <w:rsid w:val="00A11F36"/>
    <w:rsid w:val="00A136E5"/>
    <w:rsid w:val="00A140DB"/>
    <w:rsid w:val="00A14AB5"/>
    <w:rsid w:val="00A14CC9"/>
    <w:rsid w:val="00A15765"/>
    <w:rsid w:val="00A15974"/>
    <w:rsid w:val="00A15C15"/>
    <w:rsid w:val="00A165A8"/>
    <w:rsid w:val="00A175C5"/>
    <w:rsid w:val="00A1769F"/>
    <w:rsid w:val="00A1794F"/>
    <w:rsid w:val="00A17BA3"/>
    <w:rsid w:val="00A20030"/>
    <w:rsid w:val="00A20A50"/>
    <w:rsid w:val="00A21165"/>
    <w:rsid w:val="00A21471"/>
    <w:rsid w:val="00A22900"/>
    <w:rsid w:val="00A22AB9"/>
    <w:rsid w:val="00A23000"/>
    <w:rsid w:val="00A234B8"/>
    <w:rsid w:val="00A2452D"/>
    <w:rsid w:val="00A24C24"/>
    <w:rsid w:val="00A24E18"/>
    <w:rsid w:val="00A2568D"/>
    <w:rsid w:val="00A25E90"/>
    <w:rsid w:val="00A25F53"/>
    <w:rsid w:val="00A2614E"/>
    <w:rsid w:val="00A27A1B"/>
    <w:rsid w:val="00A27B80"/>
    <w:rsid w:val="00A309B1"/>
    <w:rsid w:val="00A312C7"/>
    <w:rsid w:val="00A313D8"/>
    <w:rsid w:val="00A316E0"/>
    <w:rsid w:val="00A3170F"/>
    <w:rsid w:val="00A31E5C"/>
    <w:rsid w:val="00A324FA"/>
    <w:rsid w:val="00A325A4"/>
    <w:rsid w:val="00A32DE3"/>
    <w:rsid w:val="00A331F5"/>
    <w:rsid w:val="00A33CE2"/>
    <w:rsid w:val="00A35A1A"/>
    <w:rsid w:val="00A35DF9"/>
    <w:rsid w:val="00A3691C"/>
    <w:rsid w:val="00A36ACD"/>
    <w:rsid w:val="00A37A57"/>
    <w:rsid w:val="00A37CD9"/>
    <w:rsid w:val="00A37FC8"/>
    <w:rsid w:val="00A40CFF"/>
    <w:rsid w:val="00A4107E"/>
    <w:rsid w:val="00A4111F"/>
    <w:rsid w:val="00A41672"/>
    <w:rsid w:val="00A41A63"/>
    <w:rsid w:val="00A4295E"/>
    <w:rsid w:val="00A42994"/>
    <w:rsid w:val="00A434F5"/>
    <w:rsid w:val="00A438A8"/>
    <w:rsid w:val="00A4393C"/>
    <w:rsid w:val="00A439B2"/>
    <w:rsid w:val="00A44DCE"/>
    <w:rsid w:val="00A450EF"/>
    <w:rsid w:val="00A45858"/>
    <w:rsid w:val="00A45C54"/>
    <w:rsid w:val="00A46C34"/>
    <w:rsid w:val="00A477DD"/>
    <w:rsid w:val="00A512BF"/>
    <w:rsid w:val="00A51EF4"/>
    <w:rsid w:val="00A5307C"/>
    <w:rsid w:val="00A53BAA"/>
    <w:rsid w:val="00A54B32"/>
    <w:rsid w:val="00A551BE"/>
    <w:rsid w:val="00A56083"/>
    <w:rsid w:val="00A56371"/>
    <w:rsid w:val="00A56C97"/>
    <w:rsid w:val="00A571B3"/>
    <w:rsid w:val="00A5746B"/>
    <w:rsid w:val="00A575B1"/>
    <w:rsid w:val="00A57C7C"/>
    <w:rsid w:val="00A60031"/>
    <w:rsid w:val="00A6038A"/>
    <w:rsid w:val="00A60D45"/>
    <w:rsid w:val="00A61394"/>
    <w:rsid w:val="00A61838"/>
    <w:rsid w:val="00A61D1B"/>
    <w:rsid w:val="00A622F6"/>
    <w:rsid w:val="00A62662"/>
    <w:rsid w:val="00A62948"/>
    <w:rsid w:val="00A63150"/>
    <w:rsid w:val="00A63612"/>
    <w:rsid w:val="00A63D6E"/>
    <w:rsid w:val="00A64A5C"/>
    <w:rsid w:val="00A64AE3"/>
    <w:rsid w:val="00A65178"/>
    <w:rsid w:val="00A659F7"/>
    <w:rsid w:val="00A662BB"/>
    <w:rsid w:val="00A662CB"/>
    <w:rsid w:val="00A67284"/>
    <w:rsid w:val="00A67846"/>
    <w:rsid w:val="00A67D52"/>
    <w:rsid w:val="00A67E20"/>
    <w:rsid w:val="00A70457"/>
    <w:rsid w:val="00A70D38"/>
    <w:rsid w:val="00A71219"/>
    <w:rsid w:val="00A718F3"/>
    <w:rsid w:val="00A72545"/>
    <w:rsid w:val="00A72952"/>
    <w:rsid w:val="00A72EC9"/>
    <w:rsid w:val="00A74239"/>
    <w:rsid w:val="00A752B5"/>
    <w:rsid w:val="00A752E2"/>
    <w:rsid w:val="00A754B6"/>
    <w:rsid w:val="00A75C5A"/>
    <w:rsid w:val="00A765E4"/>
    <w:rsid w:val="00A766B7"/>
    <w:rsid w:val="00A7758E"/>
    <w:rsid w:val="00A777D7"/>
    <w:rsid w:val="00A822CC"/>
    <w:rsid w:val="00A82E56"/>
    <w:rsid w:val="00A8302C"/>
    <w:rsid w:val="00A83960"/>
    <w:rsid w:val="00A859A7"/>
    <w:rsid w:val="00A87849"/>
    <w:rsid w:val="00A91A33"/>
    <w:rsid w:val="00A91B4A"/>
    <w:rsid w:val="00A91DFB"/>
    <w:rsid w:val="00A9225D"/>
    <w:rsid w:val="00A9232D"/>
    <w:rsid w:val="00A93092"/>
    <w:rsid w:val="00A937BC"/>
    <w:rsid w:val="00A93D84"/>
    <w:rsid w:val="00A94951"/>
    <w:rsid w:val="00A94CBF"/>
    <w:rsid w:val="00A95921"/>
    <w:rsid w:val="00A96723"/>
    <w:rsid w:val="00A97738"/>
    <w:rsid w:val="00AA0B97"/>
    <w:rsid w:val="00AA1550"/>
    <w:rsid w:val="00AA209B"/>
    <w:rsid w:val="00AA2272"/>
    <w:rsid w:val="00AA2442"/>
    <w:rsid w:val="00AA2AAF"/>
    <w:rsid w:val="00AA3A33"/>
    <w:rsid w:val="00AA3AD3"/>
    <w:rsid w:val="00AA3BAC"/>
    <w:rsid w:val="00AA568F"/>
    <w:rsid w:val="00AA58F5"/>
    <w:rsid w:val="00AA5949"/>
    <w:rsid w:val="00AA675E"/>
    <w:rsid w:val="00AA7B44"/>
    <w:rsid w:val="00AA7C36"/>
    <w:rsid w:val="00AB1219"/>
    <w:rsid w:val="00AB262E"/>
    <w:rsid w:val="00AB2E9C"/>
    <w:rsid w:val="00AB54F8"/>
    <w:rsid w:val="00AB6019"/>
    <w:rsid w:val="00AC0058"/>
    <w:rsid w:val="00AC15F3"/>
    <w:rsid w:val="00AC172A"/>
    <w:rsid w:val="00AC1A6C"/>
    <w:rsid w:val="00AC1FF3"/>
    <w:rsid w:val="00AC2DCD"/>
    <w:rsid w:val="00AC3CBA"/>
    <w:rsid w:val="00AC4153"/>
    <w:rsid w:val="00AC43A7"/>
    <w:rsid w:val="00AC4491"/>
    <w:rsid w:val="00AC4599"/>
    <w:rsid w:val="00AC4609"/>
    <w:rsid w:val="00AC6CFF"/>
    <w:rsid w:val="00AC6D41"/>
    <w:rsid w:val="00AC6DD5"/>
    <w:rsid w:val="00AC6E2D"/>
    <w:rsid w:val="00AC7C4D"/>
    <w:rsid w:val="00AD0E75"/>
    <w:rsid w:val="00AD1783"/>
    <w:rsid w:val="00AD195C"/>
    <w:rsid w:val="00AD1C47"/>
    <w:rsid w:val="00AD1C58"/>
    <w:rsid w:val="00AD1CB7"/>
    <w:rsid w:val="00AD29E4"/>
    <w:rsid w:val="00AD2A87"/>
    <w:rsid w:val="00AD2DAD"/>
    <w:rsid w:val="00AD3F0E"/>
    <w:rsid w:val="00AD4269"/>
    <w:rsid w:val="00AD4A4D"/>
    <w:rsid w:val="00AD531D"/>
    <w:rsid w:val="00AD6B3E"/>
    <w:rsid w:val="00AD6C61"/>
    <w:rsid w:val="00AD7B61"/>
    <w:rsid w:val="00AE03BB"/>
    <w:rsid w:val="00AE0C39"/>
    <w:rsid w:val="00AE0FB0"/>
    <w:rsid w:val="00AE24EA"/>
    <w:rsid w:val="00AE2A44"/>
    <w:rsid w:val="00AE2C9D"/>
    <w:rsid w:val="00AE2CA0"/>
    <w:rsid w:val="00AE3232"/>
    <w:rsid w:val="00AE39DE"/>
    <w:rsid w:val="00AE3A88"/>
    <w:rsid w:val="00AE3A94"/>
    <w:rsid w:val="00AE3FF9"/>
    <w:rsid w:val="00AE4014"/>
    <w:rsid w:val="00AE4395"/>
    <w:rsid w:val="00AE5440"/>
    <w:rsid w:val="00AE5A65"/>
    <w:rsid w:val="00AE6B8F"/>
    <w:rsid w:val="00AE6DC5"/>
    <w:rsid w:val="00AE6E8A"/>
    <w:rsid w:val="00AE6F55"/>
    <w:rsid w:val="00AE732B"/>
    <w:rsid w:val="00AE7BC2"/>
    <w:rsid w:val="00AF0798"/>
    <w:rsid w:val="00AF0A3C"/>
    <w:rsid w:val="00AF10FE"/>
    <w:rsid w:val="00AF2158"/>
    <w:rsid w:val="00AF22EF"/>
    <w:rsid w:val="00AF29A7"/>
    <w:rsid w:val="00AF2C6A"/>
    <w:rsid w:val="00AF3459"/>
    <w:rsid w:val="00AF34B8"/>
    <w:rsid w:val="00AF49A6"/>
    <w:rsid w:val="00AF5012"/>
    <w:rsid w:val="00AF58BA"/>
    <w:rsid w:val="00AF59AC"/>
    <w:rsid w:val="00AF5A99"/>
    <w:rsid w:val="00AF5B93"/>
    <w:rsid w:val="00AF6644"/>
    <w:rsid w:val="00AF6A16"/>
    <w:rsid w:val="00B00D0C"/>
    <w:rsid w:val="00B00F20"/>
    <w:rsid w:val="00B02D2A"/>
    <w:rsid w:val="00B0301B"/>
    <w:rsid w:val="00B0318D"/>
    <w:rsid w:val="00B039B4"/>
    <w:rsid w:val="00B04614"/>
    <w:rsid w:val="00B04D03"/>
    <w:rsid w:val="00B04F55"/>
    <w:rsid w:val="00B06C25"/>
    <w:rsid w:val="00B06F86"/>
    <w:rsid w:val="00B07AC8"/>
    <w:rsid w:val="00B07B03"/>
    <w:rsid w:val="00B07D2A"/>
    <w:rsid w:val="00B07E76"/>
    <w:rsid w:val="00B1028F"/>
    <w:rsid w:val="00B122F6"/>
    <w:rsid w:val="00B12572"/>
    <w:rsid w:val="00B12C5A"/>
    <w:rsid w:val="00B1339E"/>
    <w:rsid w:val="00B13C0C"/>
    <w:rsid w:val="00B13F9D"/>
    <w:rsid w:val="00B14C0E"/>
    <w:rsid w:val="00B160B8"/>
    <w:rsid w:val="00B20884"/>
    <w:rsid w:val="00B20E5F"/>
    <w:rsid w:val="00B22A7E"/>
    <w:rsid w:val="00B234C8"/>
    <w:rsid w:val="00B23E15"/>
    <w:rsid w:val="00B25787"/>
    <w:rsid w:val="00B26CDA"/>
    <w:rsid w:val="00B27DAB"/>
    <w:rsid w:val="00B27F48"/>
    <w:rsid w:val="00B30414"/>
    <w:rsid w:val="00B307B9"/>
    <w:rsid w:val="00B30EFE"/>
    <w:rsid w:val="00B33193"/>
    <w:rsid w:val="00B34F00"/>
    <w:rsid w:val="00B35421"/>
    <w:rsid w:val="00B360CE"/>
    <w:rsid w:val="00B374A6"/>
    <w:rsid w:val="00B37503"/>
    <w:rsid w:val="00B37C61"/>
    <w:rsid w:val="00B40082"/>
    <w:rsid w:val="00B4011D"/>
    <w:rsid w:val="00B40187"/>
    <w:rsid w:val="00B402B0"/>
    <w:rsid w:val="00B40954"/>
    <w:rsid w:val="00B40C77"/>
    <w:rsid w:val="00B410F3"/>
    <w:rsid w:val="00B42EB2"/>
    <w:rsid w:val="00B43913"/>
    <w:rsid w:val="00B4399A"/>
    <w:rsid w:val="00B4399D"/>
    <w:rsid w:val="00B450D0"/>
    <w:rsid w:val="00B45CE4"/>
    <w:rsid w:val="00B45E3A"/>
    <w:rsid w:val="00B462F0"/>
    <w:rsid w:val="00B46B64"/>
    <w:rsid w:val="00B47749"/>
    <w:rsid w:val="00B50BF1"/>
    <w:rsid w:val="00B510B2"/>
    <w:rsid w:val="00B51CB1"/>
    <w:rsid w:val="00B52D91"/>
    <w:rsid w:val="00B52DEF"/>
    <w:rsid w:val="00B53681"/>
    <w:rsid w:val="00B53F66"/>
    <w:rsid w:val="00B541A4"/>
    <w:rsid w:val="00B541A6"/>
    <w:rsid w:val="00B5424D"/>
    <w:rsid w:val="00B5466D"/>
    <w:rsid w:val="00B54EAD"/>
    <w:rsid w:val="00B562E6"/>
    <w:rsid w:val="00B6104F"/>
    <w:rsid w:val="00B62128"/>
    <w:rsid w:val="00B627DA"/>
    <w:rsid w:val="00B6381C"/>
    <w:rsid w:val="00B643AA"/>
    <w:rsid w:val="00B6546B"/>
    <w:rsid w:val="00B6565C"/>
    <w:rsid w:val="00B65783"/>
    <w:rsid w:val="00B65CA2"/>
    <w:rsid w:val="00B6632F"/>
    <w:rsid w:val="00B66A05"/>
    <w:rsid w:val="00B67191"/>
    <w:rsid w:val="00B67428"/>
    <w:rsid w:val="00B67832"/>
    <w:rsid w:val="00B67C8A"/>
    <w:rsid w:val="00B706F3"/>
    <w:rsid w:val="00B7359E"/>
    <w:rsid w:val="00B73719"/>
    <w:rsid w:val="00B7427C"/>
    <w:rsid w:val="00B7438D"/>
    <w:rsid w:val="00B7481E"/>
    <w:rsid w:val="00B7563D"/>
    <w:rsid w:val="00B76840"/>
    <w:rsid w:val="00B76DBC"/>
    <w:rsid w:val="00B778BE"/>
    <w:rsid w:val="00B77FFE"/>
    <w:rsid w:val="00B807BE"/>
    <w:rsid w:val="00B813C6"/>
    <w:rsid w:val="00B8162A"/>
    <w:rsid w:val="00B83B55"/>
    <w:rsid w:val="00B83EAD"/>
    <w:rsid w:val="00B84417"/>
    <w:rsid w:val="00B84911"/>
    <w:rsid w:val="00B850D9"/>
    <w:rsid w:val="00B85984"/>
    <w:rsid w:val="00B85CDD"/>
    <w:rsid w:val="00B85E34"/>
    <w:rsid w:val="00B86550"/>
    <w:rsid w:val="00B865EB"/>
    <w:rsid w:val="00B869A8"/>
    <w:rsid w:val="00B86B65"/>
    <w:rsid w:val="00B872A0"/>
    <w:rsid w:val="00B909D2"/>
    <w:rsid w:val="00B90B20"/>
    <w:rsid w:val="00B91812"/>
    <w:rsid w:val="00B9182A"/>
    <w:rsid w:val="00B92918"/>
    <w:rsid w:val="00B92ECD"/>
    <w:rsid w:val="00B93D19"/>
    <w:rsid w:val="00B950D3"/>
    <w:rsid w:val="00B95A84"/>
    <w:rsid w:val="00B95E61"/>
    <w:rsid w:val="00B969EC"/>
    <w:rsid w:val="00B96E42"/>
    <w:rsid w:val="00B97DF4"/>
    <w:rsid w:val="00BA0A0B"/>
    <w:rsid w:val="00BA0E45"/>
    <w:rsid w:val="00BA0F0E"/>
    <w:rsid w:val="00BA1057"/>
    <w:rsid w:val="00BA1A3F"/>
    <w:rsid w:val="00BA2A50"/>
    <w:rsid w:val="00BA30D3"/>
    <w:rsid w:val="00BA4381"/>
    <w:rsid w:val="00BA63F4"/>
    <w:rsid w:val="00BA68F6"/>
    <w:rsid w:val="00BA705D"/>
    <w:rsid w:val="00BA7842"/>
    <w:rsid w:val="00BB12FC"/>
    <w:rsid w:val="00BB43B0"/>
    <w:rsid w:val="00BB4653"/>
    <w:rsid w:val="00BB5516"/>
    <w:rsid w:val="00BB71D7"/>
    <w:rsid w:val="00BC0096"/>
    <w:rsid w:val="00BC08D3"/>
    <w:rsid w:val="00BC0914"/>
    <w:rsid w:val="00BC1F69"/>
    <w:rsid w:val="00BC2D0C"/>
    <w:rsid w:val="00BC48A8"/>
    <w:rsid w:val="00BC54A1"/>
    <w:rsid w:val="00BC5AF9"/>
    <w:rsid w:val="00BC5E44"/>
    <w:rsid w:val="00BC6C10"/>
    <w:rsid w:val="00BC75A7"/>
    <w:rsid w:val="00BD075A"/>
    <w:rsid w:val="00BD0A21"/>
    <w:rsid w:val="00BD0A76"/>
    <w:rsid w:val="00BD0EDB"/>
    <w:rsid w:val="00BD1622"/>
    <w:rsid w:val="00BD2270"/>
    <w:rsid w:val="00BD26A7"/>
    <w:rsid w:val="00BD2B11"/>
    <w:rsid w:val="00BD2C1D"/>
    <w:rsid w:val="00BD34C0"/>
    <w:rsid w:val="00BD354F"/>
    <w:rsid w:val="00BD66D9"/>
    <w:rsid w:val="00BD6B54"/>
    <w:rsid w:val="00BE060B"/>
    <w:rsid w:val="00BE0C04"/>
    <w:rsid w:val="00BE0CBF"/>
    <w:rsid w:val="00BE1848"/>
    <w:rsid w:val="00BE19B0"/>
    <w:rsid w:val="00BE36E1"/>
    <w:rsid w:val="00BE44F3"/>
    <w:rsid w:val="00BE4573"/>
    <w:rsid w:val="00BE53A5"/>
    <w:rsid w:val="00BE5B27"/>
    <w:rsid w:val="00BE616D"/>
    <w:rsid w:val="00BE62F3"/>
    <w:rsid w:val="00BE650F"/>
    <w:rsid w:val="00BE702F"/>
    <w:rsid w:val="00BE79A6"/>
    <w:rsid w:val="00BF032A"/>
    <w:rsid w:val="00BF2541"/>
    <w:rsid w:val="00BF2DB0"/>
    <w:rsid w:val="00BF2FBF"/>
    <w:rsid w:val="00BF38AC"/>
    <w:rsid w:val="00BF46A4"/>
    <w:rsid w:val="00BF486D"/>
    <w:rsid w:val="00BF48C5"/>
    <w:rsid w:val="00BF4D53"/>
    <w:rsid w:val="00BF6453"/>
    <w:rsid w:val="00C00370"/>
    <w:rsid w:val="00C008B5"/>
    <w:rsid w:val="00C00DA3"/>
    <w:rsid w:val="00C03659"/>
    <w:rsid w:val="00C03759"/>
    <w:rsid w:val="00C037B8"/>
    <w:rsid w:val="00C03D0F"/>
    <w:rsid w:val="00C04052"/>
    <w:rsid w:val="00C04999"/>
    <w:rsid w:val="00C04C7C"/>
    <w:rsid w:val="00C04F87"/>
    <w:rsid w:val="00C05CC2"/>
    <w:rsid w:val="00C0629C"/>
    <w:rsid w:val="00C07A37"/>
    <w:rsid w:val="00C12CC5"/>
    <w:rsid w:val="00C13134"/>
    <w:rsid w:val="00C1542D"/>
    <w:rsid w:val="00C16743"/>
    <w:rsid w:val="00C16CA9"/>
    <w:rsid w:val="00C16F1C"/>
    <w:rsid w:val="00C171EE"/>
    <w:rsid w:val="00C203F4"/>
    <w:rsid w:val="00C208E1"/>
    <w:rsid w:val="00C210ED"/>
    <w:rsid w:val="00C211B9"/>
    <w:rsid w:val="00C21772"/>
    <w:rsid w:val="00C222EF"/>
    <w:rsid w:val="00C2269F"/>
    <w:rsid w:val="00C22D8C"/>
    <w:rsid w:val="00C23287"/>
    <w:rsid w:val="00C23B88"/>
    <w:rsid w:val="00C23BAB"/>
    <w:rsid w:val="00C23D61"/>
    <w:rsid w:val="00C24EF5"/>
    <w:rsid w:val="00C25772"/>
    <w:rsid w:val="00C26037"/>
    <w:rsid w:val="00C2657B"/>
    <w:rsid w:val="00C266A8"/>
    <w:rsid w:val="00C26A79"/>
    <w:rsid w:val="00C272D4"/>
    <w:rsid w:val="00C2737B"/>
    <w:rsid w:val="00C3000D"/>
    <w:rsid w:val="00C30239"/>
    <w:rsid w:val="00C30783"/>
    <w:rsid w:val="00C31436"/>
    <w:rsid w:val="00C31E81"/>
    <w:rsid w:val="00C3210E"/>
    <w:rsid w:val="00C32B63"/>
    <w:rsid w:val="00C32CDA"/>
    <w:rsid w:val="00C32D74"/>
    <w:rsid w:val="00C34562"/>
    <w:rsid w:val="00C34859"/>
    <w:rsid w:val="00C34A6D"/>
    <w:rsid w:val="00C359A9"/>
    <w:rsid w:val="00C35E9D"/>
    <w:rsid w:val="00C3637D"/>
    <w:rsid w:val="00C37FBD"/>
    <w:rsid w:val="00C4031C"/>
    <w:rsid w:val="00C409B4"/>
    <w:rsid w:val="00C41FF8"/>
    <w:rsid w:val="00C4215A"/>
    <w:rsid w:val="00C42238"/>
    <w:rsid w:val="00C4236C"/>
    <w:rsid w:val="00C43205"/>
    <w:rsid w:val="00C44204"/>
    <w:rsid w:val="00C4481F"/>
    <w:rsid w:val="00C45A7A"/>
    <w:rsid w:val="00C45D55"/>
    <w:rsid w:val="00C46AD4"/>
    <w:rsid w:val="00C46E0A"/>
    <w:rsid w:val="00C470D3"/>
    <w:rsid w:val="00C47909"/>
    <w:rsid w:val="00C50AB2"/>
    <w:rsid w:val="00C51BA8"/>
    <w:rsid w:val="00C52CA6"/>
    <w:rsid w:val="00C54DFF"/>
    <w:rsid w:val="00C57135"/>
    <w:rsid w:val="00C57958"/>
    <w:rsid w:val="00C57F80"/>
    <w:rsid w:val="00C60115"/>
    <w:rsid w:val="00C605C4"/>
    <w:rsid w:val="00C60F5F"/>
    <w:rsid w:val="00C6225C"/>
    <w:rsid w:val="00C63E9B"/>
    <w:rsid w:val="00C6428F"/>
    <w:rsid w:val="00C6544A"/>
    <w:rsid w:val="00C656B7"/>
    <w:rsid w:val="00C65BA6"/>
    <w:rsid w:val="00C662EF"/>
    <w:rsid w:val="00C664B1"/>
    <w:rsid w:val="00C66CF0"/>
    <w:rsid w:val="00C67288"/>
    <w:rsid w:val="00C673BD"/>
    <w:rsid w:val="00C67B70"/>
    <w:rsid w:val="00C7042C"/>
    <w:rsid w:val="00C70986"/>
    <w:rsid w:val="00C72CA3"/>
    <w:rsid w:val="00C734D0"/>
    <w:rsid w:val="00C74330"/>
    <w:rsid w:val="00C74A06"/>
    <w:rsid w:val="00C74DAD"/>
    <w:rsid w:val="00C74ECF"/>
    <w:rsid w:val="00C75AC6"/>
    <w:rsid w:val="00C7645D"/>
    <w:rsid w:val="00C76968"/>
    <w:rsid w:val="00C76DB7"/>
    <w:rsid w:val="00C7759F"/>
    <w:rsid w:val="00C77731"/>
    <w:rsid w:val="00C8061A"/>
    <w:rsid w:val="00C80A77"/>
    <w:rsid w:val="00C81824"/>
    <w:rsid w:val="00C8465B"/>
    <w:rsid w:val="00C847EF"/>
    <w:rsid w:val="00C84EDF"/>
    <w:rsid w:val="00C85CAD"/>
    <w:rsid w:val="00C85E67"/>
    <w:rsid w:val="00C86031"/>
    <w:rsid w:val="00C86245"/>
    <w:rsid w:val="00C87480"/>
    <w:rsid w:val="00C876CB"/>
    <w:rsid w:val="00C9121E"/>
    <w:rsid w:val="00C93C48"/>
    <w:rsid w:val="00C9436B"/>
    <w:rsid w:val="00C947DC"/>
    <w:rsid w:val="00C95003"/>
    <w:rsid w:val="00C962CC"/>
    <w:rsid w:val="00C97B99"/>
    <w:rsid w:val="00C97CF9"/>
    <w:rsid w:val="00CA0B6E"/>
    <w:rsid w:val="00CA0E5C"/>
    <w:rsid w:val="00CA1B2A"/>
    <w:rsid w:val="00CA37EF"/>
    <w:rsid w:val="00CA4D47"/>
    <w:rsid w:val="00CA4F0A"/>
    <w:rsid w:val="00CA4F66"/>
    <w:rsid w:val="00CA5304"/>
    <w:rsid w:val="00CA5F42"/>
    <w:rsid w:val="00CA6494"/>
    <w:rsid w:val="00CA722D"/>
    <w:rsid w:val="00CA7BEA"/>
    <w:rsid w:val="00CA7EC6"/>
    <w:rsid w:val="00CB0105"/>
    <w:rsid w:val="00CB0316"/>
    <w:rsid w:val="00CB0922"/>
    <w:rsid w:val="00CB1626"/>
    <w:rsid w:val="00CB1694"/>
    <w:rsid w:val="00CB1958"/>
    <w:rsid w:val="00CB1CFC"/>
    <w:rsid w:val="00CB3AD0"/>
    <w:rsid w:val="00CB41E6"/>
    <w:rsid w:val="00CB439E"/>
    <w:rsid w:val="00CB43A7"/>
    <w:rsid w:val="00CB5230"/>
    <w:rsid w:val="00CB7010"/>
    <w:rsid w:val="00CB72A3"/>
    <w:rsid w:val="00CB7FB9"/>
    <w:rsid w:val="00CC1299"/>
    <w:rsid w:val="00CC1C6D"/>
    <w:rsid w:val="00CC30F7"/>
    <w:rsid w:val="00CC4C7F"/>
    <w:rsid w:val="00CC6D0F"/>
    <w:rsid w:val="00CC6FF1"/>
    <w:rsid w:val="00CC7748"/>
    <w:rsid w:val="00CC7A08"/>
    <w:rsid w:val="00CD0471"/>
    <w:rsid w:val="00CD04F2"/>
    <w:rsid w:val="00CD16A5"/>
    <w:rsid w:val="00CD1CFA"/>
    <w:rsid w:val="00CD30D1"/>
    <w:rsid w:val="00CD3E5F"/>
    <w:rsid w:val="00CD47FB"/>
    <w:rsid w:val="00CD48E0"/>
    <w:rsid w:val="00CD5102"/>
    <w:rsid w:val="00CD572D"/>
    <w:rsid w:val="00CD6049"/>
    <w:rsid w:val="00CD6482"/>
    <w:rsid w:val="00CD658D"/>
    <w:rsid w:val="00CD7487"/>
    <w:rsid w:val="00CE1FB0"/>
    <w:rsid w:val="00CE2CBA"/>
    <w:rsid w:val="00CE3686"/>
    <w:rsid w:val="00CE3EFA"/>
    <w:rsid w:val="00CE60E7"/>
    <w:rsid w:val="00CE73C6"/>
    <w:rsid w:val="00CE73E3"/>
    <w:rsid w:val="00CE7F32"/>
    <w:rsid w:val="00CF0091"/>
    <w:rsid w:val="00CF01B8"/>
    <w:rsid w:val="00CF0824"/>
    <w:rsid w:val="00CF1924"/>
    <w:rsid w:val="00CF1C15"/>
    <w:rsid w:val="00CF2EC6"/>
    <w:rsid w:val="00CF327E"/>
    <w:rsid w:val="00CF3B85"/>
    <w:rsid w:val="00CF4B0E"/>
    <w:rsid w:val="00CF4B83"/>
    <w:rsid w:val="00CF5E79"/>
    <w:rsid w:val="00CF606F"/>
    <w:rsid w:val="00CF6498"/>
    <w:rsid w:val="00CF654D"/>
    <w:rsid w:val="00CF6F3E"/>
    <w:rsid w:val="00D00BEC"/>
    <w:rsid w:val="00D0120C"/>
    <w:rsid w:val="00D01AC3"/>
    <w:rsid w:val="00D01BF0"/>
    <w:rsid w:val="00D025A6"/>
    <w:rsid w:val="00D039FD"/>
    <w:rsid w:val="00D04B1C"/>
    <w:rsid w:val="00D05133"/>
    <w:rsid w:val="00D05CC2"/>
    <w:rsid w:val="00D05DE4"/>
    <w:rsid w:val="00D073FF"/>
    <w:rsid w:val="00D07ED4"/>
    <w:rsid w:val="00D104BE"/>
    <w:rsid w:val="00D117E3"/>
    <w:rsid w:val="00D11DF8"/>
    <w:rsid w:val="00D121A3"/>
    <w:rsid w:val="00D12FFA"/>
    <w:rsid w:val="00D14B69"/>
    <w:rsid w:val="00D14CC4"/>
    <w:rsid w:val="00D16088"/>
    <w:rsid w:val="00D16136"/>
    <w:rsid w:val="00D162FD"/>
    <w:rsid w:val="00D16A26"/>
    <w:rsid w:val="00D17A23"/>
    <w:rsid w:val="00D200C8"/>
    <w:rsid w:val="00D20618"/>
    <w:rsid w:val="00D2167D"/>
    <w:rsid w:val="00D22682"/>
    <w:rsid w:val="00D22A50"/>
    <w:rsid w:val="00D233DA"/>
    <w:rsid w:val="00D23523"/>
    <w:rsid w:val="00D23969"/>
    <w:rsid w:val="00D23CCF"/>
    <w:rsid w:val="00D24B65"/>
    <w:rsid w:val="00D252ED"/>
    <w:rsid w:val="00D26183"/>
    <w:rsid w:val="00D27C97"/>
    <w:rsid w:val="00D30EB5"/>
    <w:rsid w:val="00D31508"/>
    <w:rsid w:val="00D32B3C"/>
    <w:rsid w:val="00D342A7"/>
    <w:rsid w:val="00D360B4"/>
    <w:rsid w:val="00D37970"/>
    <w:rsid w:val="00D4057D"/>
    <w:rsid w:val="00D40737"/>
    <w:rsid w:val="00D425A9"/>
    <w:rsid w:val="00D42F28"/>
    <w:rsid w:val="00D4355D"/>
    <w:rsid w:val="00D4394A"/>
    <w:rsid w:val="00D43AF3"/>
    <w:rsid w:val="00D43E84"/>
    <w:rsid w:val="00D4410E"/>
    <w:rsid w:val="00D44188"/>
    <w:rsid w:val="00D442CE"/>
    <w:rsid w:val="00D444F2"/>
    <w:rsid w:val="00D46F55"/>
    <w:rsid w:val="00D5059C"/>
    <w:rsid w:val="00D51701"/>
    <w:rsid w:val="00D51AC0"/>
    <w:rsid w:val="00D51E70"/>
    <w:rsid w:val="00D523FC"/>
    <w:rsid w:val="00D536DC"/>
    <w:rsid w:val="00D54833"/>
    <w:rsid w:val="00D548FB"/>
    <w:rsid w:val="00D54D08"/>
    <w:rsid w:val="00D56B76"/>
    <w:rsid w:val="00D57547"/>
    <w:rsid w:val="00D5757A"/>
    <w:rsid w:val="00D57A15"/>
    <w:rsid w:val="00D60F6B"/>
    <w:rsid w:val="00D61D90"/>
    <w:rsid w:val="00D62B64"/>
    <w:rsid w:val="00D62C8E"/>
    <w:rsid w:val="00D63C07"/>
    <w:rsid w:val="00D63EED"/>
    <w:rsid w:val="00D6485A"/>
    <w:rsid w:val="00D64CEA"/>
    <w:rsid w:val="00D64DA8"/>
    <w:rsid w:val="00D654C7"/>
    <w:rsid w:val="00D657E8"/>
    <w:rsid w:val="00D66A8C"/>
    <w:rsid w:val="00D702CB"/>
    <w:rsid w:val="00D70E43"/>
    <w:rsid w:val="00D7181F"/>
    <w:rsid w:val="00D71AFE"/>
    <w:rsid w:val="00D71E82"/>
    <w:rsid w:val="00D725F5"/>
    <w:rsid w:val="00D728B5"/>
    <w:rsid w:val="00D72C0D"/>
    <w:rsid w:val="00D73020"/>
    <w:rsid w:val="00D73885"/>
    <w:rsid w:val="00D746AA"/>
    <w:rsid w:val="00D74CCB"/>
    <w:rsid w:val="00D75757"/>
    <w:rsid w:val="00D765C0"/>
    <w:rsid w:val="00D77263"/>
    <w:rsid w:val="00D80802"/>
    <w:rsid w:val="00D81026"/>
    <w:rsid w:val="00D8103A"/>
    <w:rsid w:val="00D81475"/>
    <w:rsid w:val="00D8298A"/>
    <w:rsid w:val="00D83A6E"/>
    <w:rsid w:val="00D843F9"/>
    <w:rsid w:val="00D851F4"/>
    <w:rsid w:val="00D85AAA"/>
    <w:rsid w:val="00D85FA9"/>
    <w:rsid w:val="00D866A4"/>
    <w:rsid w:val="00D902DC"/>
    <w:rsid w:val="00D906BF"/>
    <w:rsid w:val="00D9083B"/>
    <w:rsid w:val="00D90E2A"/>
    <w:rsid w:val="00D911A0"/>
    <w:rsid w:val="00D914DE"/>
    <w:rsid w:val="00D915BF"/>
    <w:rsid w:val="00D91754"/>
    <w:rsid w:val="00D91B68"/>
    <w:rsid w:val="00D92145"/>
    <w:rsid w:val="00D92954"/>
    <w:rsid w:val="00D931FC"/>
    <w:rsid w:val="00D94062"/>
    <w:rsid w:val="00D95C43"/>
    <w:rsid w:val="00D95EFA"/>
    <w:rsid w:val="00D96A47"/>
    <w:rsid w:val="00D96AED"/>
    <w:rsid w:val="00D97302"/>
    <w:rsid w:val="00D97A93"/>
    <w:rsid w:val="00D97FB7"/>
    <w:rsid w:val="00DA2454"/>
    <w:rsid w:val="00DA2D79"/>
    <w:rsid w:val="00DA2FA7"/>
    <w:rsid w:val="00DA32E5"/>
    <w:rsid w:val="00DA36A8"/>
    <w:rsid w:val="00DA4453"/>
    <w:rsid w:val="00DA5A43"/>
    <w:rsid w:val="00DA635A"/>
    <w:rsid w:val="00DA6F89"/>
    <w:rsid w:val="00DA7719"/>
    <w:rsid w:val="00DA7995"/>
    <w:rsid w:val="00DB0167"/>
    <w:rsid w:val="00DB1188"/>
    <w:rsid w:val="00DB11D6"/>
    <w:rsid w:val="00DB16A4"/>
    <w:rsid w:val="00DB1EB8"/>
    <w:rsid w:val="00DB3275"/>
    <w:rsid w:val="00DB3E04"/>
    <w:rsid w:val="00DB3EC8"/>
    <w:rsid w:val="00DB3FE4"/>
    <w:rsid w:val="00DB4051"/>
    <w:rsid w:val="00DB4343"/>
    <w:rsid w:val="00DB4872"/>
    <w:rsid w:val="00DB55AC"/>
    <w:rsid w:val="00DB57E1"/>
    <w:rsid w:val="00DB57EB"/>
    <w:rsid w:val="00DB68A2"/>
    <w:rsid w:val="00DB722E"/>
    <w:rsid w:val="00DB79AA"/>
    <w:rsid w:val="00DC02ED"/>
    <w:rsid w:val="00DC110A"/>
    <w:rsid w:val="00DC1953"/>
    <w:rsid w:val="00DC1F40"/>
    <w:rsid w:val="00DC233A"/>
    <w:rsid w:val="00DC296D"/>
    <w:rsid w:val="00DC2A87"/>
    <w:rsid w:val="00DC2E05"/>
    <w:rsid w:val="00DC359E"/>
    <w:rsid w:val="00DC48B5"/>
    <w:rsid w:val="00DC592B"/>
    <w:rsid w:val="00DC5BE6"/>
    <w:rsid w:val="00DC77E2"/>
    <w:rsid w:val="00DD19A8"/>
    <w:rsid w:val="00DD2C12"/>
    <w:rsid w:val="00DD2DD4"/>
    <w:rsid w:val="00DD2FCF"/>
    <w:rsid w:val="00DD3411"/>
    <w:rsid w:val="00DD3696"/>
    <w:rsid w:val="00DD3844"/>
    <w:rsid w:val="00DD3B08"/>
    <w:rsid w:val="00DD4307"/>
    <w:rsid w:val="00DD4439"/>
    <w:rsid w:val="00DD4552"/>
    <w:rsid w:val="00DD53BE"/>
    <w:rsid w:val="00DD6121"/>
    <w:rsid w:val="00DD6834"/>
    <w:rsid w:val="00DD6F9E"/>
    <w:rsid w:val="00DD7818"/>
    <w:rsid w:val="00DE0127"/>
    <w:rsid w:val="00DE0452"/>
    <w:rsid w:val="00DE0B62"/>
    <w:rsid w:val="00DE1311"/>
    <w:rsid w:val="00DE2373"/>
    <w:rsid w:val="00DE287A"/>
    <w:rsid w:val="00DE2E6E"/>
    <w:rsid w:val="00DE2F6E"/>
    <w:rsid w:val="00DE3A26"/>
    <w:rsid w:val="00DE40D7"/>
    <w:rsid w:val="00DE41B6"/>
    <w:rsid w:val="00DE4390"/>
    <w:rsid w:val="00DE491A"/>
    <w:rsid w:val="00DE5603"/>
    <w:rsid w:val="00DE5EE6"/>
    <w:rsid w:val="00DE6AF2"/>
    <w:rsid w:val="00DE6C08"/>
    <w:rsid w:val="00DE7805"/>
    <w:rsid w:val="00DE791F"/>
    <w:rsid w:val="00DF12EA"/>
    <w:rsid w:val="00DF2412"/>
    <w:rsid w:val="00DF2432"/>
    <w:rsid w:val="00DF24C0"/>
    <w:rsid w:val="00DF2999"/>
    <w:rsid w:val="00DF2E87"/>
    <w:rsid w:val="00DF2F86"/>
    <w:rsid w:val="00DF3287"/>
    <w:rsid w:val="00DF33E0"/>
    <w:rsid w:val="00DF35EC"/>
    <w:rsid w:val="00DF4457"/>
    <w:rsid w:val="00DF530D"/>
    <w:rsid w:val="00DF5460"/>
    <w:rsid w:val="00DF5972"/>
    <w:rsid w:val="00DF6B1F"/>
    <w:rsid w:val="00DF76C1"/>
    <w:rsid w:val="00DF7CF2"/>
    <w:rsid w:val="00E01CB6"/>
    <w:rsid w:val="00E01D02"/>
    <w:rsid w:val="00E02773"/>
    <w:rsid w:val="00E02E6D"/>
    <w:rsid w:val="00E03641"/>
    <w:rsid w:val="00E0370C"/>
    <w:rsid w:val="00E045F7"/>
    <w:rsid w:val="00E05693"/>
    <w:rsid w:val="00E067C1"/>
    <w:rsid w:val="00E069D1"/>
    <w:rsid w:val="00E071AA"/>
    <w:rsid w:val="00E07A92"/>
    <w:rsid w:val="00E07EA6"/>
    <w:rsid w:val="00E1010A"/>
    <w:rsid w:val="00E10285"/>
    <w:rsid w:val="00E11F68"/>
    <w:rsid w:val="00E1253D"/>
    <w:rsid w:val="00E1267A"/>
    <w:rsid w:val="00E12CAB"/>
    <w:rsid w:val="00E12F38"/>
    <w:rsid w:val="00E135AC"/>
    <w:rsid w:val="00E1397B"/>
    <w:rsid w:val="00E13FD7"/>
    <w:rsid w:val="00E140E1"/>
    <w:rsid w:val="00E1446D"/>
    <w:rsid w:val="00E149FF"/>
    <w:rsid w:val="00E15622"/>
    <w:rsid w:val="00E15DA0"/>
    <w:rsid w:val="00E17610"/>
    <w:rsid w:val="00E2041D"/>
    <w:rsid w:val="00E2165B"/>
    <w:rsid w:val="00E21677"/>
    <w:rsid w:val="00E218C0"/>
    <w:rsid w:val="00E21911"/>
    <w:rsid w:val="00E22A95"/>
    <w:rsid w:val="00E22ADC"/>
    <w:rsid w:val="00E232D1"/>
    <w:rsid w:val="00E2399D"/>
    <w:rsid w:val="00E2425A"/>
    <w:rsid w:val="00E24812"/>
    <w:rsid w:val="00E2766E"/>
    <w:rsid w:val="00E27A55"/>
    <w:rsid w:val="00E27F79"/>
    <w:rsid w:val="00E300F2"/>
    <w:rsid w:val="00E30F98"/>
    <w:rsid w:val="00E31DDE"/>
    <w:rsid w:val="00E32F9C"/>
    <w:rsid w:val="00E33178"/>
    <w:rsid w:val="00E334B2"/>
    <w:rsid w:val="00E34522"/>
    <w:rsid w:val="00E34A04"/>
    <w:rsid w:val="00E34BE9"/>
    <w:rsid w:val="00E3505A"/>
    <w:rsid w:val="00E352FB"/>
    <w:rsid w:val="00E370B3"/>
    <w:rsid w:val="00E370BC"/>
    <w:rsid w:val="00E37956"/>
    <w:rsid w:val="00E401F7"/>
    <w:rsid w:val="00E40AF6"/>
    <w:rsid w:val="00E40E63"/>
    <w:rsid w:val="00E41D43"/>
    <w:rsid w:val="00E43E38"/>
    <w:rsid w:val="00E44D6D"/>
    <w:rsid w:val="00E46074"/>
    <w:rsid w:val="00E46D4C"/>
    <w:rsid w:val="00E50706"/>
    <w:rsid w:val="00E513FD"/>
    <w:rsid w:val="00E5148F"/>
    <w:rsid w:val="00E518B3"/>
    <w:rsid w:val="00E5274B"/>
    <w:rsid w:val="00E53878"/>
    <w:rsid w:val="00E53F04"/>
    <w:rsid w:val="00E54E54"/>
    <w:rsid w:val="00E5557E"/>
    <w:rsid w:val="00E560B5"/>
    <w:rsid w:val="00E57FF1"/>
    <w:rsid w:val="00E60410"/>
    <w:rsid w:val="00E60767"/>
    <w:rsid w:val="00E60B1A"/>
    <w:rsid w:val="00E61291"/>
    <w:rsid w:val="00E6298C"/>
    <w:rsid w:val="00E6355F"/>
    <w:rsid w:val="00E64202"/>
    <w:rsid w:val="00E64768"/>
    <w:rsid w:val="00E66084"/>
    <w:rsid w:val="00E664A1"/>
    <w:rsid w:val="00E66B2D"/>
    <w:rsid w:val="00E67037"/>
    <w:rsid w:val="00E678C0"/>
    <w:rsid w:val="00E67EB4"/>
    <w:rsid w:val="00E70A56"/>
    <w:rsid w:val="00E71FDA"/>
    <w:rsid w:val="00E721BB"/>
    <w:rsid w:val="00E7432C"/>
    <w:rsid w:val="00E74736"/>
    <w:rsid w:val="00E7673B"/>
    <w:rsid w:val="00E76856"/>
    <w:rsid w:val="00E77081"/>
    <w:rsid w:val="00E77468"/>
    <w:rsid w:val="00E803B7"/>
    <w:rsid w:val="00E813AD"/>
    <w:rsid w:val="00E836FB"/>
    <w:rsid w:val="00E8422F"/>
    <w:rsid w:val="00E842B0"/>
    <w:rsid w:val="00E847A0"/>
    <w:rsid w:val="00E84A73"/>
    <w:rsid w:val="00E8512F"/>
    <w:rsid w:val="00E853AA"/>
    <w:rsid w:val="00E872E8"/>
    <w:rsid w:val="00E873D4"/>
    <w:rsid w:val="00E9140A"/>
    <w:rsid w:val="00E91D67"/>
    <w:rsid w:val="00E92AE4"/>
    <w:rsid w:val="00E932AF"/>
    <w:rsid w:val="00E93459"/>
    <w:rsid w:val="00E93C2B"/>
    <w:rsid w:val="00E93FD2"/>
    <w:rsid w:val="00E94099"/>
    <w:rsid w:val="00E94A79"/>
    <w:rsid w:val="00E94C19"/>
    <w:rsid w:val="00E95EB4"/>
    <w:rsid w:val="00E95EF9"/>
    <w:rsid w:val="00E9616D"/>
    <w:rsid w:val="00E9681F"/>
    <w:rsid w:val="00EA11BB"/>
    <w:rsid w:val="00EA12DC"/>
    <w:rsid w:val="00EA13EF"/>
    <w:rsid w:val="00EA1E43"/>
    <w:rsid w:val="00EA2ABA"/>
    <w:rsid w:val="00EA341C"/>
    <w:rsid w:val="00EA38CB"/>
    <w:rsid w:val="00EA4C1B"/>
    <w:rsid w:val="00EA61D3"/>
    <w:rsid w:val="00EA650C"/>
    <w:rsid w:val="00EA7323"/>
    <w:rsid w:val="00EB250A"/>
    <w:rsid w:val="00EB311E"/>
    <w:rsid w:val="00EB32E0"/>
    <w:rsid w:val="00EB5040"/>
    <w:rsid w:val="00EB5C69"/>
    <w:rsid w:val="00EB6935"/>
    <w:rsid w:val="00EB70C9"/>
    <w:rsid w:val="00EB7C21"/>
    <w:rsid w:val="00EB7FB5"/>
    <w:rsid w:val="00EC019C"/>
    <w:rsid w:val="00EC01F2"/>
    <w:rsid w:val="00EC2A65"/>
    <w:rsid w:val="00EC2D1B"/>
    <w:rsid w:val="00EC3775"/>
    <w:rsid w:val="00EC387C"/>
    <w:rsid w:val="00EC404E"/>
    <w:rsid w:val="00EC4948"/>
    <w:rsid w:val="00EC4FC3"/>
    <w:rsid w:val="00EC51B5"/>
    <w:rsid w:val="00EC51FD"/>
    <w:rsid w:val="00EC6055"/>
    <w:rsid w:val="00EC6E9E"/>
    <w:rsid w:val="00EC70DE"/>
    <w:rsid w:val="00ED022E"/>
    <w:rsid w:val="00ED17D0"/>
    <w:rsid w:val="00ED198F"/>
    <w:rsid w:val="00ED2156"/>
    <w:rsid w:val="00ED302C"/>
    <w:rsid w:val="00ED348C"/>
    <w:rsid w:val="00ED36AD"/>
    <w:rsid w:val="00ED401D"/>
    <w:rsid w:val="00ED49D6"/>
    <w:rsid w:val="00ED69F9"/>
    <w:rsid w:val="00ED6D22"/>
    <w:rsid w:val="00ED7BF1"/>
    <w:rsid w:val="00ED7FBF"/>
    <w:rsid w:val="00EE0F04"/>
    <w:rsid w:val="00EE13E6"/>
    <w:rsid w:val="00EE187A"/>
    <w:rsid w:val="00EE28D6"/>
    <w:rsid w:val="00EE5145"/>
    <w:rsid w:val="00EE5256"/>
    <w:rsid w:val="00EE5C91"/>
    <w:rsid w:val="00EE6047"/>
    <w:rsid w:val="00EE6159"/>
    <w:rsid w:val="00EE798B"/>
    <w:rsid w:val="00EE7A57"/>
    <w:rsid w:val="00EF0A5A"/>
    <w:rsid w:val="00EF0F3E"/>
    <w:rsid w:val="00EF1041"/>
    <w:rsid w:val="00EF1EF8"/>
    <w:rsid w:val="00EF2CF9"/>
    <w:rsid w:val="00EF2F33"/>
    <w:rsid w:val="00EF413F"/>
    <w:rsid w:val="00EF5D7F"/>
    <w:rsid w:val="00EF66D0"/>
    <w:rsid w:val="00F02949"/>
    <w:rsid w:val="00F02A5D"/>
    <w:rsid w:val="00F02F60"/>
    <w:rsid w:val="00F03472"/>
    <w:rsid w:val="00F038D8"/>
    <w:rsid w:val="00F03DC7"/>
    <w:rsid w:val="00F03F48"/>
    <w:rsid w:val="00F042F8"/>
    <w:rsid w:val="00F04DAB"/>
    <w:rsid w:val="00F055E7"/>
    <w:rsid w:val="00F05E9F"/>
    <w:rsid w:val="00F07F5F"/>
    <w:rsid w:val="00F107CF"/>
    <w:rsid w:val="00F1125A"/>
    <w:rsid w:val="00F11344"/>
    <w:rsid w:val="00F12AB8"/>
    <w:rsid w:val="00F12B7C"/>
    <w:rsid w:val="00F142A4"/>
    <w:rsid w:val="00F145C4"/>
    <w:rsid w:val="00F151AD"/>
    <w:rsid w:val="00F16CFA"/>
    <w:rsid w:val="00F16D04"/>
    <w:rsid w:val="00F17696"/>
    <w:rsid w:val="00F17BA1"/>
    <w:rsid w:val="00F20382"/>
    <w:rsid w:val="00F20620"/>
    <w:rsid w:val="00F20CD4"/>
    <w:rsid w:val="00F20F3B"/>
    <w:rsid w:val="00F2129D"/>
    <w:rsid w:val="00F212F5"/>
    <w:rsid w:val="00F21470"/>
    <w:rsid w:val="00F214B0"/>
    <w:rsid w:val="00F2157D"/>
    <w:rsid w:val="00F23095"/>
    <w:rsid w:val="00F2343B"/>
    <w:rsid w:val="00F238C4"/>
    <w:rsid w:val="00F25257"/>
    <w:rsid w:val="00F261C3"/>
    <w:rsid w:val="00F2707B"/>
    <w:rsid w:val="00F2758A"/>
    <w:rsid w:val="00F27674"/>
    <w:rsid w:val="00F27701"/>
    <w:rsid w:val="00F27750"/>
    <w:rsid w:val="00F27881"/>
    <w:rsid w:val="00F27CEA"/>
    <w:rsid w:val="00F27E74"/>
    <w:rsid w:val="00F3097A"/>
    <w:rsid w:val="00F30BC4"/>
    <w:rsid w:val="00F31256"/>
    <w:rsid w:val="00F32178"/>
    <w:rsid w:val="00F331DD"/>
    <w:rsid w:val="00F33BB2"/>
    <w:rsid w:val="00F33E0C"/>
    <w:rsid w:val="00F34F7F"/>
    <w:rsid w:val="00F35072"/>
    <w:rsid w:val="00F35530"/>
    <w:rsid w:val="00F35669"/>
    <w:rsid w:val="00F374D0"/>
    <w:rsid w:val="00F40AB2"/>
    <w:rsid w:val="00F40ACC"/>
    <w:rsid w:val="00F40CEB"/>
    <w:rsid w:val="00F411B2"/>
    <w:rsid w:val="00F414AE"/>
    <w:rsid w:val="00F42064"/>
    <w:rsid w:val="00F4379E"/>
    <w:rsid w:val="00F43893"/>
    <w:rsid w:val="00F43C06"/>
    <w:rsid w:val="00F4479D"/>
    <w:rsid w:val="00F4495E"/>
    <w:rsid w:val="00F46716"/>
    <w:rsid w:val="00F46A1E"/>
    <w:rsid w:val="00F4756F"/>
    <w:rsid w:val="00F477B6"/>
    <w:rsid w:val="00F5072F"/>
    <w:rsid w:val="00F5158F"/>
    <w:rsid w:val="00F51775"/>
    <w:rsid w:val="00F51BF4"/>
    <w:rsid w:val="00F52B4A"/>
    <w:rsid w:val="00F534AB"/>
    <w:rsid w:val="00F541E4"/>
    <w:rsid w:val="00F549D7"/>
    <w:rsid w:val="00F54C34"/>
    <w:rsid w:val="00F551D4"/>
    <w:rsid w:val="00F5797A"/>
    <w:rsid w:val="00F57B80"/>
    <w:rsid w:val="00F600C3"/>
    <w:rsid w:val="00F60BF5"/>
    <w:rsid w:val="00F60FF8"/>
    <w:rsid w:val="00F61404"/>
    <w:rsid w:val="00F61416"/>
    <w:rsid w:val="00F62FEB"/>
    <w:rsid w:val="00F63205"/>
    <w:rsid w:val="00F63593"/>
    <w:rsid w:val="00F63673"/>
    <w:rsid w:val="00F64143"/>
    <w:rsid w:val="00F65845"/>
    <w:rsid w:val="00F65C2A"/>
    <w:rsid w:val="00F65EDB"/>
    <w:rsid w:val="00F66656"/>
    <w:rsid w:val="00F66D9F"/>
    <w:rsid w:val="00F66E50"/>
    <w:rsid w:val="00F6713E"/>
    <w:rsid w:val="00F671B6"/>
    <w:rsid w:val="00F70774"/>
    <w:rsid w:val="00F715F0"/>
    <w:rsid w:val="00F71BF2"/>
    <w:rsid w:val="00F71D18"/>
    <w:rsid w:val="00F727EB"/>
    <w:rsid w:val="00F72B7A"/>
    <w:rsid w:val="00F73A5A"/>
    <w:rsid w:val="00F74A0D"/>
    <w:rsid w:val="00F74A8B"/>
    <w:rsid w:val="00F74FAE"/>
    <w:rsid w:val="00F75EA2"/>
    <w:rsid w:val="00F77184"/>
    <w:rsid w:val="00F776F4"/>
    <w:rsid w:val="00F77B74"/>
    <w:rsid w:val="00F801EE"/>
    <w:rsid w:val="00F80535"/>
    <w:rsid w:val="00F8075D"/>
    <w:rsid w:val="00F80908"/>
    <w:rsid w:val="00F81EF8"/>
    <w:rsid w:val="00F84BC3"/>
    <w:rsid w:val="00F84D5A"/>
    <w:rsid w:val="00F8532B"/>
    <w:rsid w:val="00F86723"/>
    <w:rsid w:val="00F86A53"/>
    <w:rsid w:val="00F87370"/>
    <w:rsid w:val="00F8745B"/>
    <w:rsid w:val="00F876CA"/>
    <w:rsid w:val="00F9117E"/>
    <w:rsid w:val="00F91638"/>
    <w:rsid w:val="00F92BC3"/>
    <w:rsid w:val="00F93FEA"/>
    <w:rsid w:val="00F944BD"/>
    <w:rsid w:val="00F945A6"/>
    <w:rsid w:val="00F94738"/>
    <w:rsid w:val="00F9536C"/>
    <w:rsid w:val="00F9589D"/>
    <w:rsid w:val="00F97EBC"/>
    <w:rsid w:val="00FA0488"/>
    <w:rsid w:val="00FA1D4F"/>
    <w:rsid w:val="00FA252E"/>
    <w:rsid w:val="00FA31FA"/>
    <w:rsid w:val="00FA36C6"/>
    <w:rsid w:val="00FA3BFD"/>
    <w:rsid w:val="00FA4A5B"/>
    <w:rsid w:val="00FA4D8E"/>
    <w:rsid w:val="00FA53B1"/>
    <w:rsid w:val="00FA54E9"/>
    <w:rsid w:val="00FA5F1E"/>
    <w:rsid w:val="00FA6726"/>
    <w:rsid w:val="00FA6CFC"/>
    <w:rsid w:val="00FA7696"/>
    <w:rsid w:val="00FB0B9C"/>
    <w:rsid w:val="00FB1D91"/>
    <w:rsid w:val="00FB2124"/>
    <w:rsid w:val="00FB2162"/>
    <w:rsid w:val="00FB278F"/>
    <w:rsid w:val="00FB27DB"/>
    <w:rsid w:val="00FB4497"/>
    <w:rsid w:val="00FB4AB3"/>
    <w:rsid w:val="00FB50E7"/>
    <w:rsid w:val="00FB552C"/>
    <w:rsid w:val="00FB639C"/>
    <w:rsid w:val="00FB7DE0"/>
    <w:rsid w:val="00FC223A"/>
    <w:rsid w:val="00FC3E4C"/>
    <w:rsid w:val="00FC59B4"/>
    <w:rsid w:val="00FC682C"/>
    <w:rsid w:val="00FC7235"/>
    <w:rsid w:val="00FC763E"/>
    <w:rsid w:val="00FC7982"/>
    <w:rsid w:val="00FC7AA0"/>
    <w:rsid w:val="00FC7D2A"/>
    <w:rsid w:val="00FD00C2"/>
    <w:rsid w:val="00FD0AA7"/>
    <w:rsid w:val="00FD1E48"/>
    <w:rsid w:val="00FD36E6"/>
    <w:rsid w:val="00FD3A39"/>
    <w:rsid w:val="00FD3B55"/>
    <w:rsid w:val="00FD437B"/>
    <w:rsid w:val="00FD43A0"/>
    <w:rsid w:val="00FD70BC"/>
    <w:rsid w:val="00FE05B4"/>
    <w:rsid w:val="00FE0C3D"/>
    <w:rsid w:val="00FE0E64"/>
    <w:rsid w:val="00FE1350"/>
    <w:rsid w:val="00FE1468"/>
    <w:rsid w:val="00FE14A9"/>
    <w:rsid w:val="00FE1A53"/>
    <w:rsid w:val="00FE1C57"/>
    <w:rsid w:val="00FE2B1B"/>
    <w:rsid w:val="00FE32D0"/>
    <w:rsid w:val="00FE3AC3"/>
    <w:rsid w:val="00FE3C60"/>
    <w:rsid w:val="00FE3E33"/>
    <w:rsid w:val="00FE40BD"/>
    <w:rsid w:val="00FE44BC"/>
    <w:rsid w:val="00FE4743"/>
    <w:rsid w:val="00FE5906"/>
    <w:rsid w:val="00FE7234"/>
    <w:rsid w:val="00FE7A21"/>
    <w:rsid w:val="00FE7D35"/>
    <w:rsid w:val="00FF0FEF"/>
    <w:rsid w:val="00FF1CA6"/>
    <w:rsid w:val="00FF1EF9"/>
    <w:rsid w:val="00FF34DD"/>
    <w:rsid w:val="00FF49BB"/>
    <w:rsid w:val="00FF5216"/>
    <w:rsid w:val="00FF554A"/>
    <w:rsid w:val="00FF56B7"/>
    <w:rsid w:val="00FF678F"/>
    <w:rsid w:val="00FF711C"/>
    <w:rsid w:val="00FF71D4"/>
    <w:rsid w:val="00FF7A8D"/>
    <w:rsid w:val="00FF7A90"/>
    <w:rsid w:val="01264315"/>
    <w:rsid w:val="0B155C3C"/>
    <w:rsid w:val="16E14229"/>
    <w:rsid w:val="180946B3"/>
    <w:rsid w:val="348A3E65"/>
    <w:rsid w:val="35AF6E82"/>
    <w:rsid w:val="39693207"/>
    <w:rsid w:val="39DB5256"/>
    <w:rsid w:val="3AFF644A"/>
    <w:rsid w:val="40116529"/>
    <w:rsid w:val="462B740C"/>
    <w:rsid w:val="4E99462B"/>
    <w:rsid w:val="51654A47"/>
    <w:rsid w:val="64C45F8B"/>
    <w:rsid w:val="6D7E49D8"/>
    <w:rsid w:val="6F395D22"/>
    <w:rsid w:val="7FFD5719"/>
  </w:rsids>
  <m:mathPr>
    <m:lMargin m:val="0"/>
    <m:mathFont m:val="Cambria Math"/>
    <m:rMargin m:val="0"/>
    <m:wrapIndent m:val="1440"/>
    <m:brkBin m:val="before"/>
    <m:brkBinSub m:val="--"/>
    <m:defJc m:val="centerGroup"/>
    <m:intLim m:val="subSup"/>
    <m:naryLim m:val="undOvr"/>
    <m:smallFrac m:val="off"/>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semiHidden="0"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0" w:semiHidden="0" w:name="annotation text"/>
    <w:lsdException w:qFormat="1" w:unhideWhenUsed="0" w:uiPriority="0" w:semiHidden="0" w:name="header"/>
    <w:lsdException w:qFormat="1" w:unhideWhenUsed="0" w:uiPriority="0"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after="120" w:line="276" w:lineRule="auto"/>
      <w:jc w:val="both"/>
    </w:pPr>
    <w:rPr>
      <w:rFonts w:ascii="Times New Roman" w:hAnsi="Times New Roman" w:eastAsia="宋体" w:cs="Times New Roman"/>
      <w:szCs w:val="22"/>
      <w:lang w:val="en-US" w:eastAsia="zh-CN" w:bidi="ar-SA"/>
    </w:rPr>
  </w:style>
  <w:style w:type="paragraph" w:styleId="2">
    <w:name w:val="heading 1"/>
    <w:basedOn w:val="1"/>
    <w:next w:val="1"/>
    <w:link w:val="21"/>
    <w:qFormat/>
    <w:uiPriority w:val="99"/>
    <w:pPr>
      <w:widowControl w:val="0"/>
      <w:numPr>
        <w:ilvl w:val="0"/>
        <w:numId w:val="1"/>
      </w:numPr>
      <w:autoSpaceDE w:val="0"/>
      <w:autoSpaceDN w:val="0"/>
      <w:adjustRightInd w:val="0"/>
      <w:spacing w:after="0" w:line="240" w:lineRule="auto"/>
      <w:outlineLvl w:val="0"/>
    </w:pPr>
    <w:rPr>
      <w:rFonts w:ascii="Arial" w:hAnsi="Arial" w:eastAsia="黑体"/>
      <w:b/>
      <w:bCs/>
      <w:sz w:val="30"/>
      <w:szCs w:val="30"/>
      <w:lang w:val="zh-CN"/>
    </w:rPr>
  </w:style>
  <w:style w:type="paragraph" w:styleId="3">
    <w:name w:val="heading 2"/>
    <w:basedOn w:val="1"/>
    <w:next w:val="1"/>
    <w:link w:val="57"/>
    <w:unhideWhenUsed/>
    <w:qFormat/>
    <w:uiPriority w:val="9"/>
    <w:pPr>
      <w:keepNext/>
      <w:keepLines/>
      <w:numPr>
        <w:ilvl w:val="1"/>
        <w:numId w:val="1"/>
      </w:numPr>
      <w:spacing w:line="415" w:lineRule="auto"/>
      <w:outlineLvl w:val="1"/>
    </w:pPr>
    <w:rPr>
      <w:rFonts w:ascii="Cambria" w:hAnsi="Cambria"/>
      <w:b/>
      <w:bCs/>
      <w:sz w:val="32"/>
      <w:szCs w:val="32"/>
    </w:rPr>
  </w:style>
  <w:style w:type="paragraph" w:styleId="4">
    <w:name w:val="heading 3"/>
    <w:basedOn w:val="1"/>
    <w:next w:val="1"/>
    <w:link w:val="37"/>
    <w:unhideWhenUsed/>
    <w:qFormat/>
    <w:uiPriority w:val="0"/>
    <w:pPr>
      <w:keepNext/>
      <w:keepLines/>
      <w:numPr>
        <w:ilvl w:val="2"/>
        <w:numId w:val="2"/>
      </w:numPr>
      <w:spacing w:before="260" w:after="260" w:line="416" w:lineRule="auto"/>
      <w:outlineLvl w:val="2"/>
    </w:pPr>
    <w:rPr>
      <w:b/>
      <w:bCs/>
      <w:sz w:val="32"/>
      <w:szCs w:val="32"/>
    </w:rPr>
  </w:style>
  <w:style w:type="character" w:default="1" w:styleId="15">
    <w:name w:val="Default Paragraph Font"/>
    <w:unhideWhenUsed/>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5">
    <w:name w:val="annotation subject"/>
    <w:basedOn w:val="6"/>
    <w:next w:val="6"/>
    <w:link w:val="25"/>
    <w:unhideWhenUsed/>
    <w:qFormat/>
    <w:uiPriority w:val="99"/>
    <w:rPr>
      <w:b/>
      <w:bCs/>
    </w:rPr>
  </w:style>
  <w:style w:type="paragraph" w:styleId="6">
    <w:name w:val="annotation text"/>
    <w:basedOn w:val="1"/>
    <w:link w:val="24"/>
    <w:unhideWhenUsed/>
    <w:qFormat/>
    <w:uiPriority w:val="0"/>
    <w:rPr>
      <w:szCs w:val="20"/>
    </w:rPr>
  </w:style>
  <w:style w:type="paragraph" w:styleId="7">
    <w:name w:val="Normal Indent"/>
    <w:basedOn w:val="1"/>
    <w:qFormat/>
    <w:uiPriority w:val="0"/>
    <w:pPr>
      <w:widowControl w:val="0"/>
      <w:spacing w:after="0" w:line="240" w:lineRule="auto"/>
      <w:ind w:firstLine="420"/>
    </w:pPr>
    <w:rPr>
      <w:kern w:val="2"/>
      <w:sz w:val="21"/>
      <w:szCs w:val="20"/>
    </w:rPr>
  </w:style>
  <w:style w:type="paragraph" w:styleId="8">
    <w:name w:val="caption"/>
    <w:basedOn w:val="1"/>
    <w:next w:val="1"/>
    <w:link w:val="29"/>
    <w:qFormat/>
    <w:uiPriority w:val="0"/>
    <w:pPr>
      <w:tabs>
        <w:tab w:val="left" w:pos="1418"/>
      </w:tabs>
      <w:spacing w:line="240" w:lineRule="auto"/>
    </w:pPr>
    <w:rPr>
      <w:b/>
      <w:bCs/>
      <w:szCs w:val="20"/>
      <w:lang w:val="en-GB" w:eastAsia="sv-SE"/>
    </w:rPr>
  </w:style>
  <w:style w:type="paragraph" w:styleId="9">
    <w:name w:val="Document Map"/>
    <w:basedOn w:val="1"/>
    <w:link w:val="27"/>
    <w:unhideWhenUsed/>
    <w:qFormat/>
    <w:uiPriority w:val="99"/>
    <w:rPr>
      <w:rFonts w:ascii="宋体"/>
      <w:sz w:val="18"/>
      <w:szCs w:val="18"/>
    </w:rPr>
  </w:style>
  <w:style w:type="paragraph" w:styleId="10">
    <w:name w:val="Body Text"/>
    <w:basedOn w:val="1"/>
    <w:link w:val="28"/>
    <w:qFormat/>
    <w:uiPriority w:val="0"/>
    <w:pPr>
      <w:widowControl w:val="0"/>
      <w:spacing w:after="0" w:line="240" w:lineRule="auto"/>
    </w:pPr>
    <w:rPr>
      <w:color w:val="0000FF"/>
      <w:kern w:val="2"/>
      <w:sz w:val="21"/>
      <w:szCs w:val="20"/>
    </w:rPr>
  </w:style>
  <w:style w:type="paragraph" w:styleId="11">
    <w:name w:val="Balloon Text"/>
    <w:basedOn w:val="1"/>
    <w:link w:val="26"/>
    <w:unhideWhenUsed/>
    <w:qFormat/>
    <w:uiPriority w:val="99"/>
    <w:pPr>
      <w:spacing w:after="0" w:line="240" w:lineRule="auto"/>
    </w:pPr>
    <w:rPr>
      <w:rFonts w:ascii="Tahoma" w:hAnsi="Tahoma"/>
      <w:sz w:val="16"/>
      <w:szCs w:val="16"/>
    </w:rPr>
  </w:style>
  <w:style w:type="paragraph" w:styleId="12">
    <w:name w:val="footer"/>
    <w:basedOn w:val="1"/>
    <w:qFormat/>
    <w:uiPriority w:val="0"/>
    <w:pPr>
      <w:tabs>
        <w:tab w:val="center" w:pos="4153"/>
        <w:tab w:val="right" w:pos="8306"/>
      </w:tabs>
      <w:snapToGrid w:val="0"/>
      <w:spacing w:line="240" w:lineRule="auto"/>
    </w:pPr>
    <w:rPr>
      <w:sz w:val="18"/>
      <w:szCs w:val="18"/>
    </w:rPr>
  </w:style>
  <w:style w:type="paragraph" w:styleId="13">
    <w:name w:val="header"/>
    <w:basedOn w:val="1"/>
    <w:link w:val="22"/>
    <w:qFormat/>
    <w:uiPriority w:val="0"/>
    <w:pPr>
      <w:tabs>
        <w:tab w:val="center" w:pos="4536"/>
        <w:tab w:val="right" w:pos="9072"/>
      </w:tabs>
      <w:spacing w:after="0" w:line="240" w:lineRule="auto"/>
    </w:pPr>
    <w:rPr>
      <w:rFonts w:ascii="Arial" w:hAnsi="Arial" w:eastAsia="MS Mincho"/>
      <w:b/>
      <w:szCs w:val="24"/>
      <w:lang w:eastAsia="en-US"/>
    </w:rPr>
  </w:style>
  <w:style w:type="paragraph" w:styleId="14">
    <w:name w:val="Normal (Web)"/>
    <w:basedOn w:val="1"/>
    <w:unhideWhenUsed/>
    <w:qFormat/>
    <w:uiPriority w:val="99"/>
    <w:pPr>
      <w:spacing w:before="100" w:beforeAutospacing="1" w:after="100" w:afterAutospacing="1" w:line="240" w:lineRule="auto"/>
    </w:pPr>
    <w:rPr>
      <w:rFonts w:ascii="宋体" w:hAnsi="宋体" w:cs="宋体"/>
      <w:sz w:val="24"/>
      <w:szCs w:val="24"/>
    </w:rPr>
  </w:style>
  <w:style w:type="character" w:styleId="16">
    <w:name w:val="Hyperlink"/>
    <w:basedOn w:val="15"/>
    <w:unhideWhenUsed/>
    <w:qFormat/>
    <w:uiPriority w:val="99"/>
    <w:rPr>
      <w:color w:val="0000FF"/>
      <w:u w:val="single"/>
    </w:rPr>
  </w:style>
  <w:style w:type="character" w:styleId="17">
    <w:name w:val="annotation reference"/>
    <w:unhideWhenUsed/>
    <w:qFormat/>
    <w:uiPriority w:val="0"/>
    <w:rPr>
      <w:sz w:val="16"/>
      <w:szCs w:val="16"/>
    </w:rPr>
  </w:style>
  <w:style w:type="character" w:styleId="18">
    <w:name w:val="footnote reference"/>
    <w:semiHidden/>
    <w:qFormat/>
    <w:uiPriority w:val="0"/>
    <w:rPr>
      <w:b/>
      <w:position w:val="6"/>
      <w:sz w:val="16"/>
    </w:rPr>
  </w:style>
  <w:style w:type="table" w:styleId="20">
    <w:name w:val="Table Grid"/>
    <w:basedOn w:val="19"/>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customStyle="1" w:styleId="21">
    <w:name w:val="Heading 1 Char"/>
    <w:link w:val="2"/>
    <w:qFormat/>
    <w:uiPriority w:val="99"/>
    <w:rPr>
      <w:rFonts w:ascii="Arial" w:hAnsi="Arial" w:eastAsia="黑体"/>
      <w:b/>
      <w:bCs/>
      <w:sz w:val="30"/>
      <w:szCs w:val="30"/>
      <w:lang w:val="zh-CN"/>
    </w:rPr>
  </w:style>
  <w:style w:type="character" w:customStyle="1" w:styleId="22">
    <w:name w:val="Header Char"/>
    <w:link w:val="13"/>
    <w:qFormat/>
    <w:uiPriority w:val="0"/>
    <w:rPr>
      <w:rFonts w:ascii="Arial" w:hAnsi="Arial" w:eastAsia="MS Mincho"/>
      <w:b/>
      <w:szCs w:val="24"/>
      <w:lang w:eastAsia="en-US"/>
    </w:rPr>
  </w:style>
  <w:style w:type="paragraph" w:customStyle="1" w:styleId="2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24">
    <w:name w:val="Comment Text Char"/>
    <w:basedOn w:val="15"/>
    <w:link w:val="6"/>
    <w:qFormat/>
    <w:uiPriority w:val="0"/>
  </w:style>
  <w:style w:type="character" w:customStyle="1" w:styleId="25">
    <w:name w:val="Comment Subject Char"/>
    <w:link w:val="5"/>
    <w:semiHidden/>
    <w:qFormat/>
    <w:uiPriority w:val="99"/>
    <w:rPr>
      <w:b/>
      <w:bCs/>
    </w:rPr>
  </w:style>
  <w:style w:type="character" w:customStyle="1" w:styleId="26">
    <w:name w:val="Balloon Text Char"/>
    <w:link w:val="11"/>
    <w:semiHidden/>
    <w:qFormat/>
    <w:uiPriority w:val="99"/>
    <w:rPr>
      <w:rFonts w:ascii="Tahoma" w:hAnsi="Tahoma" w:cs="Tahoma"/>
      <w:sz w:val="16"/>
      <w:szCs w:val="16"/>
    </w:rPr>
  </w:style>
  <w:style w:type="character" w:customStyle="1" w:styleId="27">
    <w:name w:val="Document Map Char"/>
    <w:link w:val="9"/>
    <w:semiHidden/>
    <w:qFormat/>
    <w:uiPriority w:val="99"/>
    <w:rPr>
      <w:rFonts w:ascii="宋体"/>
      <w:sz w:val="18"/>
      <w:szCs w:val="18"/>
    </w:rPr>
  </w:style>
  <w:style w:type="character" w:customStyle="1" w:styleId="28">
    <w:name w:val="Body Text Char"/>
    <w:link w:val="10"/>
    <w:qFormat/>
    <w:uiPriority w:val="0"/>
    <w:rPr>
      <w:rFonts w:ascii="Times New Roman" w:hAnsi="Times New Roman"/>
      <w:color w:val="0000FF"/>
      <w:kern w:val="2"/>
      <w:sz w:val="21"/>
    </w:rPr>
  </w:style>
  <w:style w:type="character" w:customStyle="1" w:styleId="29">
    <w:name w:val="Caption Char"/>
    <w:link w:val="8"/>
    <w:qFormat/>
    <w:uiPriority w:val="0"/>
    <w:rPr>
      <w:rFonts w:ascii="Times New Roman" w:hAnsi="Times New Roman"/>
      <w:b/>
      <w:bCs/>
      <w:lang w:val="en-GB" w:eastAsia="sv-SE"/>
    </w:rPr>
  </w:style>
  <w:style w:type="paragraph" w:customStyle="1" w:styleId="30">
    <w:name w:val="表格文字居左"/>
    <w:basedOn w:val="1"/>
    <w:next w:val="1"/>
    <w:qFormat/>
    <w:uiPriority w:val="0"/>
    <w:pPr>
      <w:widowControl w:val="0"/>
      <w:spacing w:after="0" w:line="240" w:lineRule="auto"/>
    </w:pPr>
    <w:rPr>
      <w:rFonts w:ascii="Arial" w:hAnsi="Arial" w:cs="宋体"/>
      <w:kern w:val="2"/>
      <w:sz w:val="21"/>
      <w:szCs w:val="20"/>
    </w:rPr>
  </w:style>
  <w:style w:type="paragraph" w:customStyle="1" w:styleId="31">
    <w:name w:val="TAH"/>
    <w:basedOn w:val="32"/>
    <w:qFormat/>
    <w:uiPriority w:val="0"/>
    <w:rPr>
      <w:b/>
    </w:rPr>
  </w:style>
  <w:style w:type="paragraph" w:customStyle="1" w:styleId="32">
    <w:name w:val="TAC"/>
    <w:basedOn w:val="1"/>
    <w:link w:val="33"/>
    <w:qFormat/>
    <w:uiPriority w:val="0"/>
    <w:pPr>
      <w:keepNext/>
      <w:keepLines/>
      <w:overflowPunct w:val="0"/>
      <w:autoSpaceDE w:val="0"/>
      <w:autoSpaceDN w:val="0"/>
      <w:adjustRightInd w:val="0"/>
      <w:spacing w:after="0" w:line="240" w:lineRule="auto"/>
      <w:jc w:val="center"/>
      <w:textAlignment w:val="baseline"/>
    </w:pPr>
    <w:rPr>
      <w:rFonts w:ascii="Arial" w:hAnsi="Arial" w:eastAsia="Times New Roman"/>
      <w:sz w:val="18"/>
      <w:szCs w:val="20"/>
      <w:lang w:val="en-GB" w:eastAsia="en-GB"/>
    </w:rPr>
  </w:style>
  <w:style w:type="character" w:customStyle="1" w:styleId="33">
    <w:name w:val="TAC Char"/>
    <w:link w:val="32"/>
    <w:qFormat/>
    <w:uiPriority w:val="0"/>
    <w:rPr>
      <w:rFonts w:ascii="Arial" w:hAnsi="Arial" w:eastAsia="Times New Roman"/>
      <w:sz w:val="18"/>
      <w:lang w:val="en-GB" w:eastAsia="en-GB"/>
    </w:rPr>
  </w:style>
  <w:style w:type="paragraph" w:customStyle="1" w:styleId="34">
    <w:name w:val="无间隔1"/>
    <w:qFormat/>
    <w:uiPriority w:val="1"/>
    <w:rPr>
      <w:rFonts w:ascii="Calibri" w:hAnsi="Calibri" w:eastAsia="宋体" w:cs="Times New Roman"/>
      <w:sz w:val="22"/>
      <w:szCs w:val="22"/>
      <w:lang w:val="en-US" w:eastAsia="zh-CN" w:bidi="ar-SA"/>
    </w:rPr>
  </w:style>
  <w:style w:type="character" w:customStyle="1" w:styleId="35">
    <w:name w:val="word"/>
    <w:basedOn w:val="15"/>
    <w:qFormat/>
    <w:uiPriority w:val="0"/>
  </w:style>
  <w:style w:type="paragraph" w:customStyle="1" w:styleId="36">
    <w:name w:val="列出段落1"/>
    <w:basedOn w:val="1"/>
    <w:link w:val="61"/>
    <w:qFormat/>
    <w:uiPriority w:val="34"/>
    <w:pPr>
      <w:widowControl w:val="0"/>
      <w:spacing w:after="0" w:line="240" w:lineRule="auto"/>
      <w:ind w:firstLine="420" w:firstLineChars="200"/>
    </w:pPr>
    <w:rPr>
      <w:kern w:val="2"/>
      <w:sz w:val="21"/>
    </w:rPr>
  </w:style>
  <w:style w:type="character" w:customStyle="1" w:styleId="37">
    <w:name w:val="Heading 3 Char"/>
    <w:link w:val="4"/>
    <w:qFormat/>
    <w:uiPriority w:val="0"/>
    <w:rPr>
      <w:b/>
      <w:bCs/>
      <w:sz w:val="32"/>
      <w:szCs w:val="32"/>
    </w:rPr>
  </w:style>
  <w:style w:type="paragraph" w:customStyle="1" w:styleId="3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ja-JP" w:bidi="ar-SA"/>
    </w:rPr>
  </w:style>
  <w:style w:type="paragraph" w:customStyle="1" w:styleId="39">
    <w:name w:val="List Paragraph1"/>
    <w:basedOn w:val="1"/>
    <w:qFormat/>
    <w:uiPriority w:val="34"/>
    <w:pPr>
      <w:widowControl w:val="0"/>
      <w:spacing w:after="0" w:line="240" w:lineRule="auto"/>
      <w:ind w:firstLine="420" w:firstLineChars="200"/>
    </w:pPr>
    <w:rPr>
      <w:kern w:val="2"/>
      <w:sz w:val="21"/>
    </w:rPr>
  </w:style>
  <w:style w:type="paragraph" w:customStyle="1" w:styleId="40">
    <w:name w:val="TAL"/>
    <w:basedOn w:val="1"/>
    <w:qFormat/>
    <w:uiPriority w:val="0"/>
    <w:pPr>
      <w:keepNext/>
      <w:keepLines/>
      <w:spacing w:after="0" w:line="240" w:lineRule="auto"/>
    </w:pPr>
    <w:rPr>
      <w:rFonts w:ascii="Arial" w:hAnsi="Arial"/>
      <w:sz w:val="18"/>
      <w:szCs w:val="20"/>
      <w:lang w:val="en-GB" w:eastAsia="en-US"/>
    </w:rPr>
  </w:style>
  <w:style w:type="paragraph" w:customStyle="1" w:styleId="41">
    <w:name w:val="TH"/>
    <w:basedOn w:val="1"/>
    <w:link w:val="42"/>
    <w:qFormat/>
    <w:uiPriority w:val="0"/>
    <w:pPr>
      <w:keepNext/>
      <w:keepLines/>
      <w:spacing w:before="60" w:after="180" w:line="240" w:lineRule="auto"/>
      <w:jc w:val="center"/>
    </w:pPr>
    <w:rPr>
      <w:rFonts w:ascii="Arial" w:hAnsi="Arial"/>
      <w:b/>
      <w:szCs w:val="20"/>
      <w:lang w:val="en-GB" w:eastAsia="en-US"/>
    </w:rPr>
  </w:style>
  <w:style w:type="character" w:customStyle="1" w:styleId="42">
    <w:name w:val="TH Char"/>
    <w:link w:val="41"/>
    <w:qFormat/>
    <w:uiPriority w:val="0"/>
    <w:rPr>
      <w:rFonts w:ascii="Arial" w:hAnsi="Arial"/>
      <w:b/>
      <w:lang w:val="en-GB" w:eastAsia="en-US"/>
    </w:rPr>
  </w:style>
  <w:style w:type="paragraph" w:customStyle="1" w:styleId="43">
    <w:name w:val="TF"/>
    <w:basedOn w:val="41"/>
    <w:qFormat/>
    <w:uiPriority w:val="0"/>
    <w:pPr>
      <w:keepNext w:val="0"/>
      <w:overflowPunct w:val="0"/>
      <w:autoSpaceDE w:val="0"/>
      <w:autoSpaceDN w:val="0"/>
      <w:adjustRightInd w:val="0"/>
      <w:spacing w:before="0" w:after="240"/>
      <w:textAlignment w:val="baseline"/>
    </w:pPr>
    <w:rPr>
      <w:rFonts w:eastAsia="Times New Roman"/>
      <w:lang w:eastAsia="ja-JP"/>
    </w:rPr>
  </w:style>
  <w:style w:type="paragraph" w:customStyle="1" w:styleId="44">
    <w:name w:val="Normal with indent"/>
    <w:basedOn w:val="1"/>
    <w:link w:val="45"/>
    <w:qFormat/>
    <w:uiPriority w:val="0"/>
    <w:pPr>
      <w:spacing w:line="336" w:lineRule="auto"/>
      <w:ind w:firstLine="397"/>
    </w:pPr>
    <w:rPr>
      <w:rFonts w:eastAsia="Malgun Gothic"/>
      <w:szCs w:val="20"/>
      <w:lang w:val="en-GB" w:eastAsia="ko-KR"/>
    </w:rPr>
  </w:style>
  <w:style w:type="character" w:customStyle="1" w:styleId="45">
    <w:name w:val="Normal with indent Char"/>
    <w:link w:val="44"/>
    <w:qFormat/>
    <w:uiPriority w:val="0"/>
    <w:rPr>
      <w:rFonts w:ascii="Times New Roman" w:hAnsi="Times New Roman" w:eastAsia="Malgun Gothic"/>
      <w:lang w:val="en-GB" w:eastAsia="ko-KR"/>
    </w:rPr>
  </w:style>
  <w:style w:type="paragraph" w:customStyle="1" w:styleId="46">
    <w:name w:val="LGTdoc_제목1"/>
    <w:basedOn w:val="1"/>
    <w:qFormat/>
    <w:uiPriority w:val="0"/>
    <w:pPr>
      <w:adjustRightInd w:val="0"/>
      <w:snapToGrid w:val="0"/>
      <w:spacing w:beforeLines="50" w:after="100" w:afterAutospacing="1" w:line="240" w:lineRule="auto"/>
    </w:pPr>
    <w:rPr>
      <w:rFonts w:eastAsia="Batang"/>
      <w:b/>
      <w:snapToGrid w:val="0"/>
      <w:sz w:val="28"/>
      <w:szCs w:val="20"/>
      <w:lang w:val="en-GB" w:eastAsia="ko-KR"/>
    </w:rPr>
  </w:style>
  <w:style w:type="paragraph" w:customStyle="1" w:styleId="47">
    <w:name w:val="PaperTableCell"/>
    <w:basedOn w:val="1"/>
    <w:qFormat/>
    <w:uiPriority w:val="0"/>
    <w:pPr>
      <w:spacing w:after="0" w:line="240" w:lineRule="auto"/>
    </w:pPr>
    <w:rPr>
      <w:rFonts w:eastAsia="Times New Roman"/>
      <w:sz w:val="16"/>
      <w:szCs w:val="24"/>
      <w:lang w:eastAsia="en-US"/>
    </w:rPr>
  </w:style>
  <w:style w:type="character" w:customStyle="1" w:styleId="48">
    <w:name w:val="apple-style-span"/>
    <w:basedOn w:val="15"/>
    <w:qFormat/>
    <w:uiPriority w:val="0"/>
  </w:style>
  <w:style w:type="character" w:customStyle="1" w:styleId="49">
    <w:name w:val="apple-converted-space"/>
    <w:basedOn w:val="15"/>
    <w:qFormat/>
    <w:uiPriority w:val="0"/>
  </w:style>
  <w:style w:type="character" w:customStyle="1" w:styleId="50">
    <w:name w:val="high-light"/>
    <w:basedOn w:val="15"/>
    <w:qFormat/>
    <w:uiPriority w:val="0"/>
  </w:style>
  <w:style w:type="paragraph" w:customStyle="1" w:styleId="51">
    <w:name w:val="Default"/>
    <w:qFormat/>
    <w:uiPriority w:val="0"/>
    <w:pPr>
      <w:widowControl w:val="0"/>
      <w:autoSpaceDE w:val="0"/>
      <w:autoSpaceDN w:val="0"/>
      <w:adjustRightInd w:val="0"/>
    </w:pPr>
    <w:rPr>
      <w:rFonts w:ascii="Arial" w:hAnsi="Arial" w:eastAsia="宋体" w:cs="Arial"/>
      <w:color w:val="000000"/>
      <w:sz w:val="24"/>
      <w:szCs w:val="24"/>
      <w:lang w:val="en-US" w:eastAsia="zh-CN" w:bidi="ar-SA"/>
    </w:rPr>
  </w:style>
  <w:style w:type="paragraph" w:customStyle="1" w:styleId="52">
    <w:name w:val="样式 正文缩进d + 首行缩进:  2 字符 段前: 0.35 行"/>
    <w:basedOn w:val="7"/>
    <w:link w:val="53"/>
    <w:qFormat/>
    <w:uiPriority w:val="0"/>
    <w:pPr>
      <w:adjustRightInd w:val="0"/>
      <w:snapToGrid w:val="0"/>
      <w:spacing w:beforeLines="35" w:line="460" w:lineRule="exact"/>
      <w:ind w:firstLine="560" w:firstLineChars="200"/>
      <w:textAlignment w:val="baseline"/>
    </w:pPr>
    <w:rPr>
      <w:rFonts w:eastAsia="KaiTi_GB2312" w:cs="宋体"/>
      <w:snapToGrid w:val="0"/>
      <w:kern w:val="0"/>
      <w:sz w:val="28"/>
    </w:rPr>
  </w:style>
  <w:style w:type="character" w:customStyle="1" w:styleId="53">
    <w:name w:val="样式 正文缩进d + 首行缩进:  2 字符 段前: 0.35 行 Char"/>
    <w:basedOn w:val="15"/>
    <w:link w:val="52"/>
    <w:qFormat/>
    <w:uiPriority w:val="0"/>
    <w:rPr>
      <w:rFonts w:ascii="Times New Roman" w:hAnsi="Times New Roman" w:eastAsia="KaiTi_GB2312" w:cs="宋体"/>
      <w:snapToGrid w:val="0"/>
      <w:sz w:val="28"/>
    </w:rPr>
  </w:style>
  <w:style w:type="paragraph" w:customStyle="1" w:styleId="54">
    <w:name w:val="스타일 스타일 스타일 스타일 양쪽 첫 줄:  2 글자 + 첫 줄:  2 글자 + 첫 줄:  2 글자 + 첫 줄:  2..."/>
    <w:basedOn w:val="1"/>
    <w:link w:val="55"/>
    <w:qFormat/>
    <w:uiPriority w:val="0"/>
    <w:pPr>
      <w:spacing w:after="180" w:line="336" w:lineRule="auto"/>
      <w:ind w:firstLine="200" w:firstLineChars="200"/>
    </w:pPr>
    <w:rPr>
      <w:rFonts w:eastAsia="Malgun Gothic" w:cs="Batang"/>
      <w:szCs w:val="20"/>
      <w:lang w:val="en-GB" w:eastAsia="en-US"/>
    </w:rPr>
  </w:style>
  <w:style w:type="character" w:customStyle="1" w:styleId="55">
    <w:name w:val="스타일 스타일 스타일 스타일 양쪽 첫 줄:  2 글자 + 첫 줄:  2 글자 + 첫 줄:  2 글자 + 첫 줄:  2... Char"/>
    <w:basedOn w:val="15"/>
    <w:link w:val="54"/>
    <w:qFormat/>
    <w:uiPriority w:val="0"/>
    <w:rPr>
      <w:rFonts w:ascii="Times New Roman" w:hAnsi="Times New Roman" w:eastAsia="Malgun Gothic" w:cs="Batang"/>
      <w:lang w:val="en-GB" w:eastAsia="en-US"/>
    </w:rPr>
  </w:style>
  <w:style w:type="paragraph" w:customStyle="1" w:styleId="56">
    <w:name w:val="main text"/>
    <w:basedOn w:val="1"/>
    <w:qFormat/>
    <w:uiPriority w:val="0"/>
    <w:pPr>
      <w:spacing w:before="60" w:after="60" w:line="288" w:lineRule="auto"/>
      <w:ind w:firstLine="200" w:firstLineChars="200"/>
    </w:pPr>
    <w:rPr>
      <w:rFonts w:eastAsia="Malgun Gothic"/>
      <w:szCs w:val="20"/>
      <w:lang w:val="en-GB" w:eastAsia="ko-KR"/>
    </w:rPr>
  </w:style>
  <w:style w:type="character" w:customStyle="1" w:styleId="57">
    <w:name w:val="Heading 2 Char"/>
    <w:basedOn w:val="15"/>
    <w:link w:val="3"/>
    <w:qFormat/>
    <w:uiPriority w:val="9"/>
    <w:rPr>
      <w:rFonts w:ascii="Cambria" w:hAnsi="Cambria"/>
      <w:b/>
      <w:bCs/>
      <w:sz w:val="32"/>
      <w:szCs w:val="32"/>
    </w:rPr>
  </w:style>
  <w:style w:type="paragraph" w:customStyle="1" w:styleId="58">
    <w:name w:val="样式4"/>
    <w:basedOn w:val="2"/>
    <w:qFormat/>
    <w:uiPriority w:val="0"/>
    <w:pPr>
      <w:keepNext/>
      <w:keepLines/>
      <w:widowControl/>
      <w:numPr>
        <w:ilvl w:val="0"/>
        <w:numId w:val="3"/>
      </w:numPr>
      <w:tabs>
        <w:tab w:val="left" w:pos="426"/>
      </w:tabs>
      <w:overflowPunct w:val="0"/>
      <w:spacing w:before="240" w:after="120" w:line="288" w:lineRule="auto"/>
      <w:textAlignment w:val="baseline"/>
    </w:pPr>
    <w:rPr>
      <w:rFonts w:eastAsia="宋体"/>
      <w:sz w:val="24"/>
      <w:szCs w:val="24"/>
      <w:lang w:val="en-US"/>
    </w:rPr>
  </w:style>
  <w:style w:type="paragraph" w:customStyle="1" w:styleId="59">
    <w:name w:val="baseStyleRight"/>
    <w:basedOn w:val="1"/>
    <w:qFormat/>
    <w:uiPriority w:val="0"/>
    <w:pPr>
      <w:spacing w:after="180" w:line="240" w:lineRule="auto"/>
      <w:jc w:val="right"/>
    </w:pPr>
    <w:rPr>
      <w:rFonts w:eastAsia="Times New Roman"/>
      <w:szCs w:val="20"/>
      <w:lang w:eastAsia="en-US"/>
    </w:rPr>
  </w:style>
  <w:style w:type="paragraph" w:customStyle="1" w:styleId="60">
    <w:name w:val="references"/>
    <w:qFormat/>
    <w:uiPriority w:val="0"/>
    <w:pPr>
      <w:numPr>
        <w:ilvl w:val="0"/>
        <w:numId w:val="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61">
    <w:name w:val="列出段落 Char"/>
    <w:link w:val="36"/>
    <w:qFormat/>
    <w:locked/>
    <w:uiPriority w:val="34"/>
    <w:rPr>
      <w:kern w:val="2"/>
      <w:sz w:val="21"/>
      <w:szCs w:val="22"/>
    </w:rPr>
  </w:style>
  <w:style w:type="character" w:customStyle="1" w:styleId="62">
    <w:name w:val="def"/>
    <w:basedOn w:val="15"/>
    <w:qFormat/>
    <w:uiPriority w:val="0"/>
  </w:style>
  <w:style w:type="paragraph" w:customStyle="1" w:styleId="63">
    <w:name w:val="References"/>
    <w:basedOn w:val="1"/>
    <w:qFormat/>
    <w:uiPriority w:val="0"/>
    <w:pPr>
      <w:numPr>
        <w:ilvl w:val="0"/>
        <w:numId w:val="5"/>
      </w:numPr>
      <w:autoSpaceDE w:val="0"/>
      <w:autoSpaceDN w:val="0"/>
      <w:snapToGrid w:val="0"/>
      <w:spacing w:before="0" w:after="60" w:line="240" w:lineRule="auto"/>
    </w:pPr>
    <w:rPr>
      <w:szCs w:val="16"/>
      <w:lang w:eastAsia="en-US"/>
    </w:rPr>
  </w:style>
</w:style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oleObject" Target="embeddings/oleObject3.bin"/><Relationship Id="rId7" Type="http://schemas.openxmlformats.org/officeDocument/2006/relationships/image" Target="media/image2.emf"/><Relationship Id="rId6" Type="http://schemas.openxmlformats.org/officeDocument/2006/relationships/oleObject" Target="embeddings/oleObject2.bin"/><Relationship Id="rId5" Type="http://schemas.openxmlformats.org/officeDocument/2006/relationships/image" Target="media/image1.emf"/><Relationship Id="rId4" Type="http://schemas.openxmlformats.org/officeDocument/2006/relationships/oleObject" Target="embeddings/oleObject1.bin"/><Relationship Id="rId3" Type="http://schemas.openxmlformats.org/officeDocument/2006/relationships/theme" Target="theme/theme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46D37D2-0B9C-4E7C-829B-7E7C415A3D4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1236</Words>
  <Characters>7048</Characters>
  <Lines>58</Lines>
  <Paragraphs>16</Paragraphs>
  <TotalTime>0</TotalTime>
  <ScaleCrop>false</ScaleCrop>
  <LinksUpToDate>false</LinksUpToDate>
  <CharactersWithSpaces>8268</CharactersWithSpaces>
  <Application>WPS Office_10.8.0.5918_F1E327BC-269C-435d-A152-05C5408002CA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2017-02-03T08:07:00Z</dcterms:created>
  <dc:creator>ZTE</dc:creator>
  <cp:lastModifiedBy>Zhisong Zuo</cp:lastModifiedBy>
  <dcterms:modified xsi:type="dcterms:W3CDTF">2017-05-05T13:46:30Z</dcterms:modified>
  <dc:title>3GPP TSG-RAN WG1 #70</dc:title>
  <cp:revision>88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2052-10.8.0.5918</vt:lpwstr>
  </property>
</Properties>
</file>